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9003F"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B6CB75E" w14:textId="77777777" w:rsidTr="00BD221D">
        <w:trPr>
          <w:cantSplit/>
          <w:trHeight w:hRule="exact" w:val="1440"/>
          <w:jc w:val="right"/>
        </w:trPr>
        <w:tc>
          <w:tcPr>
            <w:tcW w:w="9000" w:type="dxa"/>
            <w:shd w:val="clear" w:color="auto" w:fill="8DC63F"/>
            <w:vAlign w:val="center"/>
          </w:tcPr>
          <w:p w14:paraId="238B1DB2" w14:textId="77777777" w:rsidR="00BD221D" w:rsidRPr="001C78B3" w:rsidRDefault="009C07BA" w:rsidP="00BD221D">
            <w:pPr>
              <w:pStyle w:val="eTRMHeading1"/>
              <w:jc w:val="center"/>
              <w:rPr>
                <w:sz w:val="28"/>
              </w:rPr>
            </w:pPr>
            <w:r w:rsidRPr="001C78B3">
              <w:rPr>
                <w:sz w:val="28"/>
              </w:rPr>
              <w:t>water heating</w:t>
            </w:r>
          </w:p>
          <w:p w14:paraId="2AFF00F8" w14:textId="77777777" w:rsidR="00BD221D" w:rsidRPr="001C78B3" w:rsidRDefault="002F16FE" w:rsidP="001C78B3">
            <w:pPr>
              <w:pStyle w:val="eTRMHeading2"/>
            </w:pPr>
            <w:r w:rsidRPr="001C78B3">
              <w:t>Heat Pump Water Heater</w:t>
            </w:r>
          </w:p>
          <w:p w14:paraId="13D4F2A1" w14:textId="77777777" w:rsidR="001C78B3" w:rsidRPr="001C78B3" w:rsidRDefault="001C78B3" w:rsidP="001C78B3">
            <w:pPr>
              <w:pStyle w:val="eTRMHeading2"/>
              <w:rPr>
                <w:spacing w:val="0"/>
              </w:rPr>
            </w:pPr>
            <w:r w:rsidRPr="001C78B3">
              <w:rPr>
                <w:spacing w:val="0"/>
                <w:sz w:val="28"/>
              </w:rPr>
              <w:t>SWWH014-01</w:t>
            </w:r>
          </w:p>
        </w:tc>
      </w:tr>
    </w:tbl>
    <w:p w14:paraId="44C389C8" w14:textId="77777777" w:rsidR="00BD221D" w:rsidRDefault="00BD221D" w:rsidP="00BD221D"/>
    <w:p w14:paraId="1C89A895" w14:textId="77777777" w:rsidR="00D12B8C" w:rsidRPr="00E14349" w:rsidRDefault="007E1F66" w:rsidP="0053748E">
      <w:pPr>
        <w:jc w:val="center"/>
        <w:rPr>
          <w:spacing w:val="80"/>
          <w:sz w:val="28"/>
        </w:rPr>
      </w:pPr>
      <w:r w:rsidRPr="00E14349">
        <w:rPr>
          <w:spacing w:val="80"/>
          <w:sz w:val="28"/>
        </w:rPr>
        <w:t>CONTENTS</w:t>
      </w:r>
    </w:p>
    <w:p w14:paraId="27E09B0A" w14:textId="32CB4C6A" w:rsidR="00A72BE0"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A72BE0">
        <w:rPr>
          <w:noProof/>
        </w:rPr>
        <w:t>Measure Name</w:t>
      </w:r>
      <w:r w:rsidR="00A72BE0">
        <w:rPr>
          <w:noProof/>
        </w:rPr>
        <w:tab/>
      </w:r>
      <w:r w:rsidR="00A72BE0">
        <w:rPr>
          <w:noProof/>
        </w:rPr>
        <w:fldChar w:fldCharType="begin"/>
      </w:r>
      <w:r w:rsidR="00A72BE0">
        <w:rPr>
          <w:noProof/>
        </w:rPr>
        <w:instrText xml:space="preserve"> PAGEREF _Toc2234170 \h </w:instrText>
      </w:r>
      <w:r w:rsidR="00A72BE0">
        <w:rPr>
          <w:noProof/>
        </w:rPr>
      </w:r>
      <w:r w:rsidR="00A72BE0">
        <w:rPr>
          <w:noProof/>
        </w:rPr>
        <w:fldChar w:fldCharType="separate"/>
      </w:r>
      <w:r w:rsidR="00A72BE0">
        <w:rPr>
          <w:noProof/>
        </w:rPr>
        <w:t>2</w:t>
      </w:r>
      <w:r w:rsidR="00A72BE0">
        <w:rPr>
          <w:noProof/>
        </w:rPr>
        <w:fldChar w:fldCharType="end"/>
      </w:r>
    </w:p>
    <w:p w14:paraId="6EA8876D" w14:textId="7A45D30C" w:rsidR="00A72BE0" w:rsidRDefault="00A72BE0">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_Toc2234171 \h </w:instrText>
      </w:r>
      <w:r>
        <w:rPr>
          <w:noProof/>
        </w:rPr>
      </w:r>
      <w:r>
        <w:rPr>
          <w:noProof/>
        </w:rPr>
        <w:fldChar w:fldCharType="separate"/>
      </w:r>
      <w:r>
        <w:rPr>
          <w:noProof/>
        </w:rPr>
        <w:t>2</w:t>
      </w:r>
      <w:r>
        <w:rPr>
          <w:noProof/>
        </w:rPr>
        <w:fldChar w:fldCharType="end"/>
      </w:r>
    </w:p>
    <w:p w14:paraId="526054A9" w14:textId="50309C73" w:rsidR="00A72BE0" w:rsidRDefault="00A72BE0">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_Toc2234172 \h </w:instrText>
      </w:r>
      <w:r>
        <w:rPr>
          <w:noProof/>
        </w:rPr>
      </w:r>
      <w:r>
        <w:rPr>
          <w:noProof/>
        </w:rPr>
        <w:fldChar w:fldCharType="separate"/>
      </w:r>
      <w:r>
        <w:rPr>
          <w:noProof/>
        </w:rPr>
        <w:t>2</w:t>
      </w:r>
      <w:r>
        <w:rPr>
          <w:noProof/>
        </w:rPr>
        <w:fldChar w:fldCharType="end"/>
      </w:r>
    </w:p>
    <w:p w14:paraId="549CBF2B" w14:textId="12A9F476" w:rsidR="00A72BE0" w:rsidRDefault="00A72BE0">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_Toc2234173 \h </w:instrText>
      </w:r>
      <w:r>
        <w:rPr>
          <w:noProof/>
        </w:rPr>
      </w:r>
      <w:r>
        <w:rPr>
          <w:noProof/>
        </w:rPr>
        <w:fldChar w:fldCharType="separate"/>
      </w:r>
      <w:r>
        <w:rPr>
          <w:noProof/>
        </w:rPr>
        <w:t>2</w:t>
      </w:r>
      <w:r>
        <w:rPr>
          <w:noProof/>
        </w:rPr>
        <w:fldChar w:fldCharType="end"/>
      </w:r>
    </w:p>
    <w:p w14:paraId="1C5EC46B" w14:textId="2FD0D994" w:rsidR="00A72BE0" w:rsidRDefault="00A72BE0">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_Toc2234174 \h </w:instrText>
      </w:r>
      <w:r>
        <w:rPr>
          <w:noProof/>
        </w:rPr>
      </w:r>
      <w:r>
        <w:rPr>
          <w:noProof/>
        </w:rPr>
        <w:fldChar w:fldCharType="separate"/>
      </w:r>
      <w:r>
        <w:rPr>
          <w:noProof/>
        </w:rPr>
        <w:t>3</w:t>
      </w:r>
      <w:r>
        <w:rPr>
          <w:noProof/>
        </w:rPr>
        <w:fldChar w:fldCharType="end"/>
      </w:r>
    </w:p>
    <w:p w14:paraId="7AA1F0A5" w14:textId="502FD4B6" w:rsidR="00A72BE0" w:rsidRDefault="00A72BE0">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_Toc2234175 \h </w:instrText>
      </w:r>
      <w:r>
        <w:rPr>
          <w:noProof/>
        </w:rPr>
      </w:r>
      <w:r>
        <w:rPr>
          <w:noProof/>
        </w:rPr>
        <w:fldChar w:fldCharType="separate"/>
      </w:r>
      <w:r>
        <w:rPr>
          <w:noProof/>
        </w:rPr>
        <w:t>3</w:t>
      </w:r>
      <w:r>
        <w:rPr>
          <w:noProof/>
        </w:rPr>
        <w:fldChar w:fldCharType="end"/>
      </w:r>
    </w:p>
    <w:p w14:paraId="3199D77D" w14:textId="5C3402D8" w:rsidR="00A72BE0" w:rsidRDefault="00A72BE0">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_Toc2234176 \h </w:instrText>
      </w:r>
      <w:r>
        <w:rPr>
          <w:noProof/>
        </w:rPr>
      </w:r>
      <w:r>
        <w:rPr>
          <w:noProof/>
        </w:rPr>
        <w:fldChar w:fldCharType="separate"/>
      </w:r>
      <w:r>
        <w:rPr>
          <w:noProof/>
        </w:rPr>
        <w:t>6</w:t>
      </w:r>
      <w:r>
        <w:rPr>
          <w:noProof/>
        </w:rPr>
        <w:fldChar w:fldCharType="end"/>
      </w:r>
    </w:p>
    <w:p w14:paraId="75EC9F76" w14:textId="663C8AE8" w:rsidR="00A72BE0" w:rsidRDefault="00A72BE0">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_Toc2234177 \h </w:instrText>
      </w:r>
      <w:r>
        <w:rPr>
          <w:noProof/>
        </w:rPr>
      </w:r>
      <w:r>
        <w:rPr>
          <w:noProof/>
        </w:rPr>
        <w:fldChar w:fldCharType="separate"/>
      </w:r>
      <w:r>
        <w:rPr>
          <w:noProof/>
        </w:rPr>
        <w:t>6</w:t>
      </w:r>
      <w:r>
        <w:rPr>
          <w:noProof/>
        </w:rPr>
        <w:fldChar w:fldCharType="end"/>
      </w:r>
    </w:p>
    <w:p w14:paraId="11AE75E5" w14:textId="17F1E412" w:rsidR="00A72BE0" w:rsidRDefault="00A72BE0">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_Toc2234178 \h </w:instrText>
      </w:r>
      <w:r>
        <w:rPr>
          <w:noProof/>
        </w:rPr>
      </w:r>
      <w:r>
        <w:rPr>
          <w:noProof/>
        </w:rPr>
        <w:fldChar w:fldCharType="separate"/>
      </w:r>
      <w:r>
        <w:rPr>
          <w:noProof/>
        </w:rPr>
        <w:t>6</w:t>
      </w:r>
      <w:r>
        <w:rPr>
          <w:noProof/>
        </w:rPr>
        <w:fldChar w:fldCharType="end"/>
      </w:r>
    </w:p>
    <w:p w14:paraId="6CED87C3" w14:textId="4A62D616" w:rsidR="00A72BE0" w:rsidRDefault="00A72BE0">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_Toc2234179 \h </w:instrText>
      </w:r>
      <w:r>
        <w:rPr>
          <w:noProof/>
        </w:rPr>
      </w:r>
      <w:r>
        <w:rPr>
          <w:noProof/>
        </w:rPr>
        <w:fldChar w:fldCharType="separate"/>
      </w:r>
      <w:r>
        <w:rPr>
          <w:noProof/>
        </w:rPr>
        <w:t>7</w:t>
      </w:r>
      <w:r>
        <w:rPr>
          <w:noProof/>
        </w:rPr>
        <w:fldChar w:fldCharType="end"/>
      </w:r>
    </w:p>
    <w:p w14:paraId="6F7E3F2B" w14:textId="7CC3EB63" w:rsidR="00A72BE0" w:rsidRDefault="00A72BE0">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_Toc2234180 \h </w:instrText>
      </w:r>
      <w:r>
        <w:rPr>
          <w:noProof/>
        </w:rPr>
      </w:r>
      <w:r>
        <w:rPr>
          <w:noProof/>
        </w:rPr>
        <w:fldChar w:fldCharType="separate"/>
      </w:r>
      <w:r>
        <w:rPr>
          <w:noProof/>
        </w:rPr>
        <w:t>7</w:t>
      </w:r>
      <w:r>
        <w:rPr>
          <w:noProof/>
        </w:rPr>
        <w:fldChar w:fldCharType="end"/>
      </w:r>
    </w:p>
    <w:p w14:paraId="594A5439" w14:textId="4AA69DC7" w:rsidR="00A72BE0" w:rsidRDefault="00A72BE0">
      <w:pPr>
        <w:pStyle w:val="TOC3"/>
        <w:rPr>
          <w:rFonts w:asciiTheme="minorHAnsi" w:hAnsiTheme="minorHAnsi"/>
          <w:noProof/>
          <w:szCs w:val="22"/>
        </w:rPr>
      </w:pPr>
      <w:r>
        <w:rPr>
          <w:noProof/>
        </w:rPr>
        <w:t>Electric Savings (</w:t>
      </w:r>
      <w:r w:rsidRPr="008C2751">
        <w:rPr>
          <w:noProof/>
        </w:rPr>
        <w:t>kWh</w:t>
      </w:r>
      <w:r>
        <w:rPr>
          <w:noProof/>
        </w:rPr>
        <w:t>)</w:t>
      </w:r>
      <w:r>
        <w:rPr>
          <w:noProof/>
        </w:rPr>
        <w:tab/>
      </w:r>
      <w:r>
        <w:rPr>
          <w:noProof/>
        </w:rPr>
        <w:fldChar w:fldCharType="begin"/>
      </w:r>
      <w:r>
        <w:rPr>
          <w:noProof/>
        </w:rPr>
        <w:instrText xml:space="preserve"> PAGEREF _Toc2234181 \h </w:instrText>
      </w:r>
      <w:r>
        <w:rPr>
          <w:noProof/>
        </w:rPr>
      </w:r>
      <w:r>
        <w:rPr>
          <w:noProof/>
        </w:rPr>
        <w:fldChar w:fldCharType="separate"/>
      </w:r>
      <w:r>
        <w:rPr>
          <w:noProof/>
        </w:rPr>
        <w:t>7</w:t>
      </w:r>
      <w:r>
        <w:rPr>
          <w:noProof/>
        </w:rPr>
        <w:fldChar w:fldCharType="end"/>
      </w:r>
    </w:p>
    <w:p w14:paraId="138DF570" w14:textId="34A2E5DB" w:rsidR="00A72BE0" w:rsidRDefault="00A72BE0">
      <w:pPr>
        <w:pStyle w:val="TOC3"/>
        <w:rPr>
          <w:rFonts w:asciiTheme="minorHAnsi" w:hAnsiTheme="minorHAnsi"/>
          <w:noProof/>
          <w:szCs w:val="22"/>
        </w:rPr>
      </w:pPr>
      <w:r>
        <w:rPr>
          <w:noProof/>
        </w:rPr>
        <w:t>Peak Electric Demand Reduction (</w:t>
      </w:r>
      <w:r w:rsidRPr="008C2751">
        <w:rPr>
          <w:noProof/>
        </w:rPr>
        <w:t>kW</w:t>
      </w:r>
      <w:r>
        <w:rPr>
          <w:noProof/>
        </w:rPr>
        <w:t>)</w:t>
      </w:r>
      <w:r>
        <w:rPr>
          <w:noProof/>
        </w:rPr>
        <w:tab/>
      </w:r>
      <w:r>
        <w:rPr>
          <w:noProof/>
        </w:rPr>
        <w:fldChar w:fldCharType="begin"/>
      </w:r>
      <w:r>
        <w:rPr>
          <w:noProof/>
        </w:rPr>
        <w:instrText xml:space="preserve"> PAGEREF _Toc2234182 \h </w:instrText>
      </w:r>
      <w:r>
        <w:rPr>
          <w:noProof/>
        </w:rPr>
      </w:r>
      <w:r>
        <w:rPr>
          <w:noProof/>
        </w:rPr>
        <w:fldChar w:fldCharType="separate"/>
      </w:r>
      <w:r>
        <w:rPr>
          <w:noProof/>
        </w:rPr>
        <w:t>8</w:t>
      </w:r>
      <w:r>
        <w:rPr>
          <w:noProof/>
        </w:rPr>
        <w:fldChar w:fldCharType="end"/>
      </w:r>
    </w:p>
    <w:p w14:paraId="480D7E49" w14:textId="3CD66F21" w:rsidR="00A72BE0" w:rsidRDefault="00A72BE0">
      <w:pPr>
        <w:pStyle w:val="TOC3"/>
        <w:rPr>
          <w:rFonts w:asciiTheme="minorHAnsi" w:hAnsiTheme="minorHAnsi"/>
          <w:noProof/>
          <w:szCs w:val="22"/>
        </w:rPr>
      </w:pPr>
      <w:r>
        <w:rPr>
          <w:noProof/>
        </w:rPr>
        <w:t>Gas Savings (</w:t>
      </w:r>
      <w:r w:rsidRPr="008C2751">
        <w:rPr>
          <w:noProof/>
        </w:rPr>
        <w:t>Therms</w:t>
      </w:r>
      <w:r>
        <w:rPr>
          <w:noProof/>
        </w:rPr>
        <w:t>)</w:t>
      </w:r>
      <w:r>
        <w:rPr>
          <w:noProof/>
        </w:rPr>
        <w:tab/>
      </w:r>
      <w:r>
        <w:rPr>
          <w:noProof/>
        </w:rPr>
        <w:fldChar w:fldCharType="begin"/>
      </w:r>
      <w:r>
        <w:rPr>
          <w:noProof/>
        </w:rPr>
        <w:instrText xml:space="preserve"> PAGEREF _Toc2234183 \h </w:instrText>
      </w:r>
      <w:r>
        <w:rPr>
          <w:noProof/>
        </w:rPr>
      </w:r>
      <w:r>
        <w:rPr>
          <w:noProof/>
        </w:rPr>
        <w:fldChar w:fldCharType="separate"/>
      </w:r>
      <w:r>
        <w:rPr>
          <w:noProof/>
        </w:rPr>
        <w:t>8</w:t>
      </w:r>
      <w:r>
        <w:rPr>
          <w:noProof/>
        </w:rPr>
        <w:fldChar w:fldCharType="end"/>
      </w:r>
    </w:p>
    <w:p w14:paraId="48B2A3FD" w14:textId="1FA89923" w:rsidR="00A72BE0" w:rsidRDefault="00A72BE0">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_Toc2234184 \h </w:instrText>
      </w:r>
      <w:r>
        <w:rPr>
          <w:noProof/>
        </w:rPr>
      </w:r>
      <w:r>
        <w:rPr>
          <w:noProof/>
        </w:rPr>
        <w:fldChar w:fldCharType="separate"/>
      </w:r>
      <w:r>
        <w:rPr>
          <w:noProof/>
        </w:rPr>
        <w:t>9</w:t>
      </w:r>
      <w:r>
        <w:rPr>
          <w:noProof/>
        </w:rPr>
        <w:fldChar w:fldCharType="end"/>
      </w:r>
    </w:p>
    <w:p w14:paraId="084A0937" w14:textId="15E05F45" w:rsidR="00A72BE0" w:rsidRDefault="00A72BE0">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_Toc2234185 \h </w:instrText>
      </w:r>
      <w:r>
        <w:rPr>
          <w:noProof/>
        </w:rPr>
      </w:r>
      <w:r>
        <w:rPr>
          <w:noProof/>
        </w:rPr>
        <w:fldChar w:fldCharType="separate"/>
      </w:r>
      <w:r>
        <w:rPr>
          <w:noProof/>
        </w:rPr>
        <w:t>9</w:t>
      </w:r>
      <w:r>
        <w:rPr>
          <w:noProof/>
        </w:rPr>
        <w:fldChar w:fldCharType="end"/>
      </w:r>
    </w:p>
    <w:p w14:paraId="1B503077" w14:textId="0DBC587F" w:rsidR="00A72BE0" w:rsidRDefault="00A72BE0">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_Toc2234186 \h </w:instrText>
      </w:r>
      <w:r>
        <w:rPr>
          <w:noProof/>
        </w:rPr>
      </w:r>
      <w:r>
        <w:rPr>
          <w:noProof/>
        </w:rPr>
        <w:fldChar w:fldCharType="separate"/>
      </w:r>
      <w:r>
        <w:rPr>
          <w:noProof/>
        </w:rPr>
        <w:t>9</w:t>
      </w:r>
      <w:r>
        <w:rPr>
          <w:noProof/>
        </w:rPr>
        <w:fldChar w:fldCharType="end"/>
      </w:r>
    </w:p>
    <w:p w14:paraId="6E600285" w14:textId="05A15B87" w:rsidR="00A72BE0" w:rsidRDefault="00A72BE0">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_Toc2234187 \h </w:instrText>
      </w:r>
      <w:r>
        <w:rPr>
          <w:noProof/>
        </w:rPr>
      </w:r>
      <w:r>
        <w:rPr>
          <w:noProof/>
        </w:rPr>
        <w:fldChar w:fldCharType="separate"/>
      </w:r>
      <w:r>
        <w:rPr>
          <w:noProof/>
        </w:rPr>
        <w:t>10</w:t>
      </w:r>
      <w:r>
        <w:rPr>
          <w:noProof/>
        </w:rPr>
        <w:fldChar w:fldCharType="end"/>
      </w:r>
    </w:p>
    <w:p w14:paraId="744D987B" w14:textId="3CD64322" w:rsidR="00A72BE0" w:rsidRDefault="00A72BE0">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_Toc2234188 \h </w:instrText>
      </w:r>
      <w:r>
        <w:rPr>
          <w:noProof/>
        </w:rPr>
      </w:r>
      <w:r>
        <w:rPr>
          <w:noProof/>
        </w:rPr>
        <w:fldChar w:fldCharType="separate"/>
      </w:r>
      <w:r>
        <w:rPr>
          <w:noProof/>
        </w:rPr>
        <w:t>10</w:t>
      </w:r>
      <w:r>
        <w:rPr>
          <w:noProof/>
        </w:rPr>
        <w:fldChar w:fldCharType="end"/>
      </w:r>
    </w:p>
    <w:p w14:paraId="5FDFA3BD" w14:textId="4840A36F" w:rsidR="00A72BE0" w:rsidRDefault="00A72BE0">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_Toc2234189 \h </w:instrText>
      </w:r>
      <w:r>
        <w:rPr>
          <w:noProof/>
        </w:rPr>
      </w:r>
      <w:r>
        <w:rPr>
          <w:noProof/>
        </w:rPr>
        <w:fldChar w:fldCharType="separate"/>
      </w:r>
      <w:r>
        <w:rPr>
          <w:noProof/>
        </w:rPr>
        <w:t>10</w:t>
      </w:r>
      <w:r>
        <w:rPr>
          <w:noProof/>
        </w:rPr>
        <w:fldChar w:fldCharType="end"/>
      </w:r>
    </w:p>
    <w:p w14:paraId="219969A5" w14:textId="0F760384" w:rsidR="00A72BE0" w:rsidRDefault="00A72BE0">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_Toc2234190 \h </w:instrText>
      </w:r>
      <w:r>
        <w:rPr>
          <w:noProof/>
        </w:rPr>
      </w:r>
      <w:r>
        <w:rPr>
          <w:noProof/>
        </w:rPr>
        <w:fldChar w:fldCharType="separate"/>
      </w:r>
      <w:r>
        <w:rPr>
          <w:noProof/>
        </w:rPr>
        <w:t>11</w:t>
      </w:r>
      <w:r>
        <w:rPr>
          <w:noProof/>
        </w:rPr>
        <w:fldChar w:fldCharType="end"/>
      </w:r>
    </w:p>
    <w:p w14:paraId="1576AC92" w14:textId="15E8F43C" w:rsidR="00A72BE0" w:rsidRDefault="00A72BE0">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_Toc2234191 \h </w:instrText>
      </w:r>
      <w:r>
        <w:rPr>
          <w:noProof/>
        </w:rPr>
      </w:r>
      <w:r>
        <w:rPr>
          <w:noProof/>
        </w:rPr>
        <w:fldChar w:fldCharType="separate"/>
      </w:r>
      <w:r>
        <w:rPr>
          <w:noProof/>
        </w:rPr>
        <w:t>11</w:t>
      </w:r>
      <w:r>
        <w:rPr>
          <w:noProof/>
        </w:rPr>
        <w:fldChar w:fldCharType="end"/>
      </w:r>
    </w:p>
    <w:p w14:paraId="04C7176A" w14:textId="435666B5" w:rsidR="00A72BE0" w:rsidRDefault="00A72BE0">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_Toc2234192 \h </w:instrText>
      </w:r>
      <w:r>
        <w:rPr>
          <w:noProof/>
        </w:rPr>
      </w:r>
      <w:r>
        <w:rPr>
          <w:noProof/>
        </w:rPr>
        <w:fldChar w:fldCharType="separate"/>
      </w:r>
      <w:r>
        <w:rPr>
          <w:noProof/>
        </w:rPr>
        <w:t>11</w:t>
      </w:r>
      <w:r>
        <w:rPr>
          <w:noProof/>
        </w:rPr>
        <w:fldChar w:fldCharType="end"/>
      </w:r>
    </w:p>
    <w:p w14:paraId="64D9DDBA" w14:textId="73717D8B" w:rsidR="00A72BE0" w:rsidRDefault="00A72BE0">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_Toc2234193 \h </w:instrText>
      </w:r>
      <w:r>
        <w:rPr>
          <w:noProof/>
        </w:rPr>
      </w:r>
      <w:r>
        <w:rPr>
          <w:noProof/>
        </w:rPr>
        <w:fldChar w:fldCharType="separate"/>
      </w:r>
      <w:r>
        <w:rPr>
          <w:noProof/>
        </w:rPr>
        <w:t>12</w:t>
      </w:r>
      <w:r>
        <w:rPr>
          <w:noProof/>
        </w:rPr>
        <w:fldChar w:fldCharType="end"/>
      </w:r>
    </w:p>
    <w:p w14:paraId="70D51061" w14:textId="50DF76E2" w:rsidR="007E1F66" w:rsidRDefault="001C6C9B" w:rsidP="00F87631">
      <w:pPr>
        <w:sectPr w:rsidR="007E1F66"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r>
        <w:fldChar w:fldCharType="end"/>
      </w:r>
    </w:p>
    <w:p w14:paraId="38E24343" w14:textId="77777777" w:rsidR="00474F1C" w:rsidRPr="007E1F66" w:rsidRDefault="00474F1C" w:rsidP="00B44D24">
      <w:pPr>
        <w:pStyle w:val="eTRMHeading3"/>
        <w:spacing w:before="20" w:after="20"/>
      </w:pPr>
      <w:bookmarkStart w:id="0" w:name="_Toc486490839"/>
      <w:bookmarkStart w:id="1" w:name="_Toc486580912"/>
      <w:bookmarkStart w:id="2" w:name="_Toc2234170"/>
      <w:r w:rsidRPr="007E1F66">
        <w:lastRenderedPageBreak/>
        <w:t>Measure Name</w:t>
      </w:r>
      <w:bookmarkEnd w:id="0"/>
      <w:bookmarkEnd w:id="1"/>
      <w:bookmarkEnd w:id="2"/>
    </w:p>
    <w:p w14:paraId="5B3B3C14" w14:textId="77777777" w:rsidR="00474F1C" w:rsidRDefault="00474F1C" w:rsidP="00FC4E8D">
      <w:pPr>
        <w:spacing w:before="20" w:after="20" w:line="280" w:lineRule="exact"/>
      </w:pPr>
      <w:r>
        <w:t>Heat Pump Water Heater</w:t>
      </w:r>
    </w:p>
    <w:p w14:paraId="0A7CA3D6" w14:textId="77777777" w:rsidR="00474F1C" w:rsidRPr="00401C43" w:rsidRDefault="00474F1C" w:rsidP="00FC4E8D">
      <w:pPr>
        <w:spacing w:before="20" w:after="20" w:line="280" w:lineRule="exact"/>
      </w:pPr>
    </w:p>
    <w:p w14:paraId="6AA5F0AD" w14:textId="77777777" w:rsidR="00474F1C" w:rsidRPr="00074E3E" w:rsidRDefault="00474F1C" w:rsidP="00B44D24">
      <w:pPr>
        <w:pStyle w:val="eTRMHeading3"/>
        <w:spacing w:before="20" w:after="20"/>
      </w:pPr>
      <w:bookmarkStart w:id="3" w:name="_Toc486490840"/>
      <w:bookmarkStart w:id="4" w:name="_Toc486580913"/>
      <w:bookmarkStart w:id="5" w:name="_Toc2234171"/>
      <w:r>
        <w:t>Statewide Measure ID</w:t>
      </w:r>
      <w:bookmarkEnd w:id="3"/>
      <w:bookmarkEnd w:id="4"/>
      <w:bookmarkEnd w:id="5"/>
    </w:p>
    <w:p w14:paraId="7B0F15EE" w14:textId="77777777" w:rsidR="00474F1C" w:rsidRDefault="001C78B3" w:rsidP="001C78B3">
      <w:r>
        <w:t>SWWH014-01</w:t>
      </w:r>
    </w:p>
    <w:p w14:paraId="0CC939AF" w14:textId="77777777" w:rsidR="00474F1C" w:rsidRPr="00462BB6" w:rsidRDefault="00474F1C" w:rsidP="001C78B3"/>
    <w:p w14:paraId="1EB6A98C" w14:textId="77777777" w:rsidR="00E70CBD" w:rsidRPr="00154391" w:rsidRDefault="00E70CBD" w:rsidP="000F1A47">
      <w:pPr>
        <w:pStyle w:val="eTRMHeading3"/>
      </w:pPr>
      <w:bookmarkStart w:id="6" w:name="_Toc486490847"/>
      <w:bookmarkStart w:id="7" w:name="_Toc486580918"/>
      <w:bookmarkStart w:id="8" w:name="_Toc2234172"/>
      <w:r w:rsidRPr="00154391">
        <w:t>Technology Summary</w:t>
      </w:r>
      <w:bookmarkEnd w:id="6"/>
      <w:bookmarkEnd w:id="7"/>
      <w:bookmarkEnd w:id="8"/>
      <w:r w:rsidRPr="00154391">
        <w:t xml:space="preserve"> </w:t>
      </w:r>
    </w:p>
    <w:p w14:paraId="60931176" w14:textId="77777777" w:rsidR="007743C7" w:rsidRPr="006B3FA7" w:rsidRDefault="007743C7" w:rsidP="007743C7">
      <w:bookmarkStart w:id="9" w:name="_Toc486490848"/>
      <w:bookmarkStart w:id="10" w:name="_Toc486580919"/>
      <w:r w:rsidRPr="006B3FA7">
        <w:t>Conventional electric-resistance water heaters usually consist of a glass-lined steel tank with foam insulation. Energy efficient units have</w:t>
      </w:r>
      <w:r w:rsidR="009C5892">
        <w:t xml:space="preserve"> a</w:t>
      </w:r>
      <w:r w:rsidRPr="006B3FA7">
        <w:t xml:space="preserve"> greater amount of insulation. Located at the base and top end of the tank are two electrical heating elements. Cold water enters the base of the tank and is heated by the lower electrical heating element. The water then rises to the top portion of the tank where the hot water is drawn for consumption. During periods of high demand, the electrical heating element located at the top end of the tank can be turned on to provide additional water heating. </w:t>
      </w:r>
    </w:p>
    <w:p w14:paraId="0511BF27" w14:textId="77777777" w:rsidR="007743C7" w:rsidRDefault="007743C7" w:rsidP="007743C7">
      <w:r w:rsidRPr="006B3FA7">
        <w:t xml:space="preserve">Heat pump water heaters achieve higher efficiency compared to electric-resistance water heaters. </w:t>
      </w:r>
      <w:r w:rsidR="00590966" w:rsidRPr="006B3FA7">
        <w:t>Like</w:t>
      </w:r>
      <w:r w:rsidRPr="006B3FA7">
        <w:t xml:space="preserve"> electric-resistance water heaters, most heat pump water heaters consist of a glass-lined steel tank with foam insulation. Heat pump water heaters are typically equipped with supplemental electric-resistance elements for periods of high demand. </w:t>
      </w:r>
    </w:p>
    <w:p w14:paraId="14DEE222" w14:textId="77777777" w:rsidR="007743C7" w:rsidRDefault="007743C7" w:rsidP="007743C7">
      <w:r w:rsidRPr="006B3FA7">
        <w:t xml:space="preserve">The most significant barrier </w:t>
      </w:r>
      <w:r w:rsidR="00015A90">
        <w:t xml:space="preserve">to </w:t>
      </w:r>
      <w:r w:rsidR="001C78B3">
        <w:t xml:space="preserve">a </w:t>
      </w:r>
      <w:r w:rsidR="00015A90">
        <w:t xml:space="preserve">water heater retrofit is the </w:t>
      </w:r>
      <w:r w:rsidRPr="006B3FA7">
        <w:t xml:space="preserve">existing nature of water heater replacement. </w:t>
      </w:r>
      <w:r w:rsidR="00751772">
        <w:t>Approximately 37%</w:t>
      </w:r>
      <w:r w:rsidRPr="006B3FA7">
        <w:t xml:space="preserve"> of consumers replace their water heaters due to the sudden failure of their existing water heater.</w:t>
      </w:r>
      <w:r w:rsidR="0017111B">
        <w:rPr>
          <w:rStyle w:val="FootnoteReference"/>
        </w:rPr>
        <w:footnoteReference w:id="2"/>
      </w:r>
      <w:r w:rsidRPr="006B3FA7">
        <w:t xml:space="preserve"> When a water heater fails, most consumers </w:t>
      </w:r>
      <w:r w:rsidR="00B97FC2">
        <w:t xml:space="preserve">will </w:t>
      </w:r>
      <w:r w:rsidRPr="006B3FA7">
        <w:t xml:space="preserve">purchase </w:t>
      </w:r>
      <w:r w:rsidR="00B97FC2">
        <w:t xml:space="preserve">a </w:t>
      </w:r>
      <w:r w:rsidRPr="006B3FA7">
        <w:t xml:space="preserve">replacement that </w:t>
      </w:r>
      <w:r w:rsidR="00B97FC2">
        <w:t>is</w:t>
      </w:r>
      <w:r w:rsidRPr="006B3FA7">
        <w:t xml:space="preserve"> the cheapest and most readily available model that </w:t>
      </w:r>
      <w:r w:rsidR="00B97FC2">
        <w:t>is</w:t>
      </w:r>
      <w:r w:rsidRPr="006B3FA7">
        <w:t xml:space="preserve"> also easy to install. These prevailing attitudes do not encourage consumers to make the extra effort to find more advanced, energy-efficient technologies that are now available on the market.</w:t>
      </w:r>
    </w:p>
    <w:p w14:paraId="4595F736" w14:textId="77777777" w:rsidR="007743C7" w:rsidRPr="006B3FA7" w:rsidRDefault="007743C7" w:rsidP="007743C7"/>
    <w:p w14:paraId="2539A9B0" w14:textId="77777777" w:rsidR="007D230B" w:rsidRPr="004B06E3" w:rsidRDefault="007D230B" w:rsidP="000F1A47">
      <w:pPr>
        <w:pStyle w:val="eTRMHeading3"/>
      </w:pPr>
      <w:bookmarkStart w:id="11" w:name="_Toc2234173"/>
      <w:r w:rsidRPr="004B06E3">
        <w:t>Measure Case Description</w:t>
      </w:r>
      <w:bookmarkEnd w:id="9"/>
      <w:bookmarkEnd w:id="10"/>
      <w:bookmarkEnd w:id="11"/>
    </w:p>
    <w:p w14:paraId="302F7AF6" w14:textId="5C7EDA36" w:rsidR="002C30CB" w:rsidRDefault="00B20DA3" w:rsidP="002C30CB">
      <w:bookmarkStart w:id="12" w:name="_Toc486490849"/>
      <w:bookmarkStart w:id="13" w:name="_Toc486580920"/>
      <w:r w:rsidRPr="00E3741E">
        <w:t>The qualifying measure</w:t>
      </w:r>
      <w:r>
        <w:t xml:space="preserve"> efficiencies for </w:t>
      </w:r>
      <w:r w:rsidR="00015A90">
        <w:t>the heat pump water heater</w:t>
      </w:r>
      <w:r w:rsidR="0011329B">
        <w:t>, and the corresponding base case unit</w:t>
      </w:r>
      <w:r w:rsidR="009C5892">
        <w:t>,</w:t>
      </w:r>
      <w:r w:rsidR="0011329B">
        <w:t xml:space="preserve"> are</w:t>
      </w:r>
      <w:r w:rsidR="00015A90">
        <w:t xml:space="preserve"> </w:t>
      </w:r>
      <w:r>
        <w:t xml:space="preserve">specified </w:t>
      </w:r>
      <w:r w:rsidR="00590966">
        <w:t>below</w:t>
      </w:r>
      <w:r>
        <w:t>.</w:t>
      </w:r>
      <w:r w:rsidR="00751772">
        <w:t xml:space="preserve"> Efficiency requirements have been updated from using the </w:t>
      </w:r>
      <w:r w:rsidR="008B6988">
        <w:t>energy factor</w:t>
      </w:r>
      <w:r w:rsidR="00751772">
        <w:t xml:space="preserve"> metric to the </w:t>
      </w:r>
      <w:r w:rsidR="008B6988">
        <w:t>uniform energy factor</w:t>
      </w:r>
      <w:r w:rsidR="00751772">
        <w:t xml:space="preserve"> </w:t>
      </w:r>
      <w:r w:rsidR="00CA1E41">
        <w:t xml:space="preserve">(UEF) </w:t>
      </w:r>
      <w:r w:rsidR="00751772">
        <w:t>metric, as required by federal regulations.</w:t>
      </w:r>
      <w:r>
        <w:t xml:space="preserve"> </w:t>
      </w:r>
      <w:r w:rsidR="002C30CB">
        <w:t>The minimum qualifying measure efficiencies</w:t>
      </w:r>
      <w:r w:rsidR="002C30CB" w:rsidRPr="00957A00">
        <w:t xml:space="preserve"> </w:t>
      </w:r>
      <w:r w:rsidR="002C30CB">
        <w:t xml:space="preserve">exceed the </w:t>
      </w:r>
      <w:r w:rsidR="002C30CB" w:rsidRPr="00BA170E">
        <w:t>California Title 20</w:t>
      </w:r>
      <w:r w:rsidR="002C30CB">
        <w:t xml:space="preserve"> and Code of Federal Regulations standards</w:t>
      </w:r>
      <w:r w:rsidR="00015A90">
        <w:t xml:space="preserve"> (see Code Requirements)</w:t>
      </w:r>
      <w:r w:rsidR="002C30CB">
        <w:t>.</w:t>
      </w:r>
    </w:p>
    <w:p w14:paraId="288D07C9" w14:textId="2674B54B" w:rsidR="00AA58CB" w:rsidRDefault="002B7391" w:rsidP="00AA58CB">
      <w:pPr>
        <w:pStyle w:val="Caption"/>
      </w:pPr>
      <w:bookmarkStart w:id="14" w:name="_Ref501257276"/>
      <w:r>
        <w:lastRenderedPageBreak/>
        <w:t xml:space="preserve">Base Case and </w:t>
      </w:r>
      <w:r w:rsidR="00AA58CB" w:rsidRPr="00421242">
        <w:t xml:space="preserve">Measure Case Specification </w:t>
      </w:r>
    </w:p>
    <w:tbl>
      <w:tblPr>
        <w:tblW w:w="720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800"/>
        <w:gridCol w:w="1800"/>
        <w:gridCol w:w="1800"/>
        <w:gridCol w:w="1800"/>
      </w:tblGrid>
      <w:tr w:rsidR="000A47D0" w14:paraId="2424DDC9" w14:textId="77777777" w:rsidTr="0077770F">
        <w:trPr>
          <w:trHeight w:val="20"/>
        </w:trPr>
        <w:tc>
          <w:tcPr>
            <w:tcW w:w="2880" w:type="dxa"/>
            <w:gridSpan w:val="2"/>
            <w:shd w:val="clear" w:color="auto" w:fill="F2F2F2" w:themeFill="background1" w:themeFillShade="F2"/>
          </w:tcPr>
          <w:bookmarkEnd w:id="14"/>
          <w:p w14:paraId="45706A62" w14:textId="77777777" w:rsidR="000A47D0" w:rsidRDefault="000A47D0" w:rsidP="000A47D0">
            <w:pPr>
              <w:keepNext/>
              <w:keepLines/>
              <w:spacing w:before="0" w:after="0"/>
              <w:jc w:val="center"/>
              <w:rPr>
                <w:b/>
                <w:sz w:val="20"/>
                <w:szCs w:val="20"/>
              </w:rPr>
            </w:pPr>
            <w:r>
              <w:rPr>
                <w:b/>
                <w:sz w:val="20"/>
                <w:szCs w:val="20"/>
              </w:rPr>
              <w:t xml:space="preserve">Electric Heat Pump </w:t>
            </w:r>
            <w:r>
              <w:rPr>
                <w:b/>
                <w:sz w:val="20"/>
                <w:szCs w:val="20"/>
              </w:rPr>
              <w:br/>
              <w:t>(Measure Case)</w:t>
            </w:r>
          </w:p>
        </w:tc>
        <w:tc>
          <w:tcPr>
            <w:tcW w:w="2880" w:type="dxa"/>
            <w:gridSpan w:val="2"/>
            <w:shd w:val="clear" w:color="auto" w:fill="F2F2F2" w:themeFill="background1" w:themeFillShade="F2"/>
          </w:tcPr>
          <w:p w14:paraId="04AE0C92" w14:textId="77777777" w:rsidR="000A47D0" w:rsidRDefault="000A47D0" w:rsidP="000A47D0">
            <w:pPr>
              <w:keepNext/>
              <w:keepLines/>
              <w:spacing w:before="0" w:after="0"/>
              <w:jc w:val="center"/>
              <w:rPr>
                <w:b/>
                <w:sz w:val="20"/>
                <w:szCs w:val="20"/>
              </w:rPr>
            </w:pPr>
            <w:r>
              <w:rPr>
                <w:b/>
                <w:sz w:val="20"/>
                <w:szCs w:val="20"/>
              </w:rPr>
              <w:t xml:space="preserve">Electric Water Heater </w:t>
            </w:r>
            <w:r>
              <w:rPr>
                <w:b/>
                <w:sz w:val="20"/>
                <w:szCs w:val="20"/>
              </w:rPr>
              <w:br/>
              <w:t>(Base Case)</w:t>
            </w:r>
          </w:p>
        </w:tc>
      </w:tr>
      <w:tr w:rsidR="000A47D0" w14:paraId="3E0A3899" w14:textId="77777777" w:rsidTr="0077770F">
        <w:trPr>
          <w:trHeight w:val="20"/>
        </w:trPr>
        <w:tc>
          <w:tcPr>
            <w:tcW w:w="2880" w:type="dxa"/>
            <w:tcBorders>
              <w:right w:val="dotted" w:sz="4" w:space="0" w:color="A6A6A6" w:themeColor="background1" w:themeShade="A6"/>
            </w:tcBorders>
            <w:shd w:val="clear" w:color="auto" w:fill="F2F2F2" w:themeFill="background1" w:themeFillShade="F2"/>
          </w:tcPr>
          <w:p w14:paraId="355D29F5" w14:textId="77777777" w:rsidR="000A47D0" w:rsidRDefault="000A47D0" w:rsidP="000A47D0">
            <w:pPr>
              <w:keepNext/>
              <w:keepLines/>
              <w:spacing w:before="0" w:after="0"/>
              <w:jc w:val="center"/>
              <w:rPr>
                <w:b/>
                <w:sz w:val="20"/>
                <w:szCs w:val="20"/>
              </w:rPr>
            </w:pPr>
            <w:r>
              <w:rPr>
                <w:b/>
                <w:sz w:val="20"/>
                <w:szCs w:val="20"/>
              </w:rPr>
              <w:t>Storage Volume (gal.)</w:t>
            </w:r>
          </w:p>
        </w:tc>
        <w:tc>
          <w:tcPr>
            <w:tcW w:w="2880" w:type="dxa"/>
            <w:tcBorders>
              <w:left w:val="dotted" w:sz="4" w:space="0" w:color="A6A6A6" w:themeColor="background1" w:themeShade="A6"/>
            </w:tcBorders>
            <w:shd w:val="clear" w:color="auto" w:fill="F2F2F2" w:themeFill="background1" w:themeFillShade="F2"/>
          </w:tcPr>
          <w:p w14:paraId="521F6FD9" w14:textId="77777777" w:rsidR="000A47D0" w:rsidRDefault="000A47D0" w:rsidP="000A47D0">
            <w:pPr>
              <w:keepNext/>
              <w:keepLines/>
              <w:spacing w:before="0" w:after="0"/>
              <w:jc w:val="center"/>
              <w:rPr>
                <w:b/>
                <w:sz w:val="20"/>
                <w:szCs w:val="20"/>
              </w:rPr>
            </w:pPr>
            <w:r>
              <w:rPr>
                <w:b/>
                <w:sz w:val="20"/>
                <w:szCs w:val="20"/>
              </w:rPr>
              <w:t xml:space="preserve">Efficiency </w:t>
            </w:r>
            <w:r>
              <w:rPr>
                <w:b/>
                <w:sz w:val="20"/>
                <w:szCs w:val="20"/>
              </w:rPr>
              <w:br/>
              <w:t>(</w:t>
            </w:r>
            <w:r w:rsidR="00FF2BE0">
              <w:rPr>
                <w:b/>
                <w:sz w:val="20"/>
                <w:szCs w:val="20"/>
              </w:rPr>
              <w:t>U</w:t>
            </w:r>
            <w:r>
              <w:rPr>
                <w:b/>
                <w:sz w:val="20"/>
                <w:szCs w:val="20"/>
              </w:rPr>
              <w:t>EF)</w:t>
            </w:r>
          </w:p>
        </w:tc>
        <w:tc>
          <w:tcPr>
            <w:tcW w:w="2880" w:type="dxa"/>
            <w:tcBorders>
              <w:right w:val="dotted" w:sz="4" w:space="0" w:color="A6A6A6" w:themeColor="background1" w:themeShade="A6"/>
            </w:tcBorders>
            <w:shd w:val="clear" w:color="auto" w:fill="F2F2F2" w:themeFill="background1" w:themeFillShade="F2"/>
          </w:tcPr>
          <w:p w14:paraId="1B12BB7D" w14:textId="77777777" w:rsidR="000A47D0" w:rsidRDefault="000A47D0" w:rsidP="000A47D0">
            <w:pPr>
              <w:keepNext/>
              <w:keepLines/>
              <w:spacing w:before="0" w:after="0"/>
              <w:jc w:val="center"/>
              <w:rPr>
                <w:b/>
                <w:sz w:val="20"/>
                <w:szCs w:val="20"/>
              </w:rPr>
            </w:pPr>
            <w:r>
              <w:rPr>
                <w:b/>
                <w:sz w:val="20"/>
                <w:szCs w:val="20"/>
              </w:rPr>
              <w:t>Storage Volume (gal.)</w:t>
            </w:r>
          </w:p>
        </w:tc>
        <w:tc>
          <w:tcPr>
            <w:tcW w:w="2880" w:type="dxa"/>
            <w:tcBorders>
              <w:left w:val="dotted" w:sz="4" w:space="0" w:color="A6A6A6" w:themeColor="background1" w:themeShade="A6"/>
            </w:tcBorders>
            <w:shd w:val="clear" w:color="auto" w:fill="F2F2F2" w:themeFill="background1" w:themeFillShade="F2"/>
          </w:tcPr>
          <w:p w14:paraId="38AF7437" w14:textId="77777777" w:rsidR="000A47D0" w:rsidRDefault="000A47D0" w:rsidP="000A47D0">
            <w:pPr>
              <w:keepNext/>
              <w:keepLines/>
              <w:spacing w:before="0" w:after="0"/>
              <w:jc w:val="center"/>
              <w:rPr>
                <w:b/>
                <w:sz w:val="20"/>
                <w:szCs w:val="20"/>
              </w:rPr>
            </w:pPr>
            <w:r>
              <w:rPr>
                <w:b/>
                <w:sz w:val="20"/>
                <w:szCs w:val="20"/>
              </w:rPr>
              <w:t xml:space="preserve">Efficiency </w:t>
            </w:r>
            <w:r>
              <w:rPr>
                <w:b/>
                <w:sz w:val="20"/>
                <w:szCs w:val="20"/>
              </w:rPr>
              <w:br/>
              <w:t>(</w:t>
            </w:r>
            <w:r w:rsidR="00FF2BE0">
              <w:rPr>
                <w:b/>
                <w:sz w:val="20"/>
                <w:szCs w:val="20"/>
              </w:rPr>
              <w:t>U</w:t>
            </w:r>
            <w:r>
              <w:rPr>
                <w:b/>
                <w:sz w:val="20"/>
                <w:szCs w:val="20"/>
              </w:rPr>
              <w:t>EF)</w:t>
            </w:r>
          </w:p>
        </w:tc>
      </w:tr>
      <w:tr w:rsidR="000A47D0" w:rsidRPr="00B20DA3" w14:paraId="22525172" w14:textId="77777777" w:rsidTr="0077770F">
        <w:trPr>
          <w:trHeight w:val="287"/>
        </w:trPr>
        <w:tc>
          <w:tcPr>
            <w:tcW w:w="2880" w:type="dxa"/>
            <w:vMerge w:val="restart"/>
            <w:tcBorders>
              <w:right w:val="dotted" w:sz="4" w:space="0" w:color="A6A6A6" w:themeColor="background1" w:themeShade="A6"/>
            </w:tcBorders>
            <w:vAlign w:val="center"/>
          </w:tcPr>
          <w:p w14:paraId="292A1E86" w14:textId="77777777" w:rsidR="000A47D0" w:rsidRPr="00B20DA3" w:rsidRDefault="000A47D0" w:rsidP="000A47D0">
            <w:pPr>
              <w:keepNext/>
              <w:keepLines/>
              <w:spacing w:before="0" w:after="0"/>
              <w:jc w:val="center"/>
              <w:rPr>
                <w:sz w:val="20"/>
                <w:szCs w:val="20"/>
              </w:rPr>
            </w:pPr>
            <w:r>
              <w:rPr>
                <w:sz w:val="20"/>
                <w:szCs w:val="20"/>
              </w:rPr>
              <w:t xml:space="preserve">&lt; </w:t>
            </w:r>
            <w:r w:rsidR="00731FFB" w:rsidRPr="0065285B">
              <w:rPr>
                <w:sz w:val="20"/>
                <w:szCs w:val="20"/>
              </w:rPr>
              <w:t>45</w:t>
            </w:r>
            <w:r>
              <w:rPr>
                <w:sz w:val="20"/>
                <w:szCs w:val="20"/>
              </w:rPr>
              <w:t xml:space="preserve"> Vol. ≤ 55 </w:t>
            </w:r>
          </w:p>
        </w:tc>
        <w:tc>
          <w:tcPr>
            <w:tcW w:w="2880" w:type="dxa"/>
            <w:tcBorders>
              <w:left w:val="dotted" w:sz="4" w:space="0" w:color="A6A6A6" w:themeColor="background1" w:themeShade="A6"/>
            </w:tcBorders>
            <w:vAlign w:val="center"/>
          </w:tcPr>
          <w:p w14:paraId="4FE1C575" w14:textId="77777777" w:rsidR="000A47D0" w:rsidRPr="00B20DA3" w:rsidRDefault="000A47D0" w:rsidP="000A47D0">
            <w:pPr>
              <w:keepNext/>
              <w:keepLines/>
              <w:spacing w:before="0" w:after="0"/>
              <w:jc w:val="center"/>
              <w:rPr>
                <w:sz w:val="20"/>
                <w:szCs w:val="20"/>
              </w:rPr>
            </w:pPr>
            <w:r>
              <w:rPr>
                <w:sz w:val="20"/>
                <w:szCs w:val="20"/>
              </w:rPr>
              <w:t>3.</w:t>
            </w:r>
            <w:r w:rsidR="00FF2BE0">
              <w:rPr>
                <w:sz w:val="20"/>
                <w:szCs w:val="20"/>
              </w:rPr>
              <w:t>09</w:t>
            </w:r>
          </w:p>
        </w:tc>
        <w:tc>
          <w:tcPr>
            <w:tcW w:w="2880" w:type="dxa"/>
            <w:vMerge w:val="restart"/>
            <w:tcBorders>
              <w:right w:val="dotted" w:sz="4" w:space="0" w:color="A6A6A6" w:themeColor="background1" w:themeShade="A6"/>
            </w:tcBorders>
            <w:vAlign w:val="center"/>
          </w:tcPr>
          <w:p w14:paraId="2360FDFC" w14:textId="77777777" w:rsidR="000A47D0" w:rsidRDefault="000A47D0" w:rsidP="000A47D0">
            <w:pPr>
              <w:keepNext/>
              <w:keepLines/>
              <w:spacing w:before="0" w:after="0"/>
              <w:jc w:val="center"/>
              <w:rPr>
                <w:sz w:val="20"/>
                <w:szCs w:val="20"/>
              </w:rPr>
            </w:pPr>
            <w:r>
              <w:rPr>
                <w:sz w:val="20"/>
                <w:szCs w:val="20"/>
              </w:rPr>
              <w:t xml:space="preserve">≤ 35 </w:t>
            </w:r>
          </w:p>
        </w:tc>
        <w:tc>
          <w:tcPr>
            <w:tcW w:w="2880" w:type="dxa"/>
            <w:tcBorders>
              <w:left w:val="dotted" w:sz="4" w:space="0" w:color="A6A6A6" w:themeColor="background1" w:themeShade="A6"/>
            </w:tcBorders>
            <w:vAlign w:val="center"/>
          </w:tcPr>
          <w:p w14:paraId="5AFC7646" w14:textId="77777777" w:rsidR="000A47D0" w:rsidRDefault="000A47D0" w:rsidP="000A47D0">
            <w:pPr>
              <w:keepNext/>
              <w:keepLines/>
              <w:spacing w:before="0" w:after="0"/>
              <w:jc w:val="center"/>
              <w:rPr>
                <w:sz w:val="20"/>
                <w:szCs w:val="20"/>
              </w:rPr>
            </w:pPr>
            <w:r>
              <w:rPr>
                <w:sz w:val="20"/>
                <w:szCs w:val="20"/>
              </w:rPr>
              <w:t>0.</w:t>
            </w:r>
            <w:r w:rsidR="00FF2BE0">
              <w:rPr>
                <w:sz w:val="20"/>
                <w:szCs w:val="20"/>
              </w:rPr>
              <w:t>92</w:t>
            </w:r>
          </w:p>
        </w:tc>
      </w:tr>
      <w:tr w:rsidR="000A47D0" w:rsidRPr="00B20DA3" w14:paraId="12AE36B5" w14:textId="77777777" w:rsidTr="0077770F">
        <w:trPr>
          <w:trHeight w:val="287"/>
        </w:trPr>
        <w:tc>
          <w:tcPr>
            <w:tcW w:w="2880" w:type="dxa"/>
            <w:vMerge/>
            <w:tcBorders>
              <w:right w:val="dotted" w:sz="4" w:space="0" w:color="A6A6A6" w:themeColor="background1" w:themeShade="A6"/>
            </w:tcBorders>
            <w:vAlign w:val="center"/>
          </w:tcPr>
          <w:p w14:paraId="4B0B391D" w14:textId="77777777" w:rsidR="000A47D0" w:rsidRPr="00B20DA3" w:rsidRDefault="000A47D0" w:rsidP="000A47D0">
            <w:pPr>
              <w:keepNext/>
              <w:keepLines/>
              <w:spacing w:before="0" w:after="0"/>
              <w:jc w:val="center"/>
              <w:rPr>
                <w:sz w:val="20"/>
                <w:szCs w:val="20"/>
              </w:rPr>
            </w:pPr>
          </w:p>
        </w:tc>
        <w:tc>
          <w:tcPr>
            <w:tcW w:w="2880" w:type="dxa"/>
            <w:tcBorders>
              <w:left w:val="dotted" w:sz="4" w:space="0" w:color="A6A6A6" w:themeColor="background1" w:themeShade="A6"/>
            </w:tcBorders>
            <w:vAlign w:val="center"/>
          </w:tcPr>
          <w:p w14:paraId="089AD7F1" w14:textId="77777777" w:rsidR="000A47D0" w:rsidRPr="00B20DA3" w:rsidRDefault="000A47D0" w:rsidP="000A47D0">
            <w:pPr>
              <w:keepNext/>
              <w:keepLines/>
              <w:spacing w:before="0" w:after="0"/>
              <w:jc w:val="center"/>
              <w:rPr>
                <w:sz w:val="20"/>
                <w:szCs w:val="20"/>
              </w:rPr>
            </w:pPr>
            <w:r>
              <w:rPr>
                <w:sz w:val="20"/>
                <w:szCs w:val="20"/>
              </w:rPr>
              <w:t>3.</w:t>
            </w:r>
            <w:r w:rsidR="00FF2BE0">
              <w:rPr>
                <w:sz w:val="20"/>
                <w:szCs w:val="20"/>
              </w:rPr>
              <w:t>31</w:t>
            </w:r>
          </w:p>
        </w:tc>
        <w:tc>
          <w:tcPr>
            <w:tcW w:w="2880" w:type="dxa"/>
            <w:vMerge/>
            <w:tcBorders>
              <w:right w:val="dotted" w:sz="4" w:space="0" w:color="A6A6A6" w:themeColor="background1" w:themeShade="A6"/>
            </w:tcBorders>
            <w:vAlign w:val="center"/>
          </w:tcPr>
          <w:p w14:paraId="375AFA30" w14:textId="77777777" w:rsidR="000A47D0" w:rsidRDefault="000A47D0" w:rsidP="000A47D0">
            <w:pPr>
              <w:keepNext/>
              <w:keepLines/>
              <w:spacing w:before="0" w:after="0"/>
              <w:jc w:val="center"/>
              <w:rPr>
                <w:sz w:val="20"/>
                <w:szCs w:val="20"/>
              </w:rPr>
            </w:pPr>
          </w:p>
        </w:tc>
        <w:tc>
          <w:tcPr>
            <w:tcW w:w="2880" w:type="dxa"/>
            <w:tcBorders>
              <w:left w:val="dotted" w:sz="4" w:space="0" w:color="A6A6A6" w:themeColor="background1" w:themeShade="A6"/>
            </w:tcBorders>
            <w:vAlign w:val="center"/>
          </w:tcPr>
          <w:p w14:paraId="383CE1C6" w14:textId="77777777" w:rsidR="000A47D0" w:rsidRDefault="000A47D0" w:rsidP="000A47D0">
            <w:pPr>
              <w:keepNext/>
              <w:keepLines/>
              <w:spacing w:before="0" w:after="0"/>
              <w:jc w:val="center"/>
              <w:rPr>
                <w:sz w:val="20"/>
                <w:szCs w:val="20"/>
              </w:rPr>
            </w:pPr>
            <w:r>
              <w:rPr>
                <w:sz w:val="20"/>
                <w:szCs w:val="20"/>
              </w:rPr>
              <w:t>0.</w:t>
            </w:r>
            <w:r w:rsidR="00FF2BE0">
              <w:rPr>
                <w:sz w:val="20"/>
                <w:szCs w:val="20"/>
              </w:rPr>
              <w:t>92</w:t>
            </w:r>
          </w:p>
        </w:tc>
      </w:tr>
      <w:tr w:rsidR="000A47D0" w:rsidRPr="00B20DA3" w14:paraId="00513D52" w14:textId="77777777" w:rsidTr="0077770F">
        <w:trPr>
          <w:trHeight w:val="287"/>
        </w:trPr>
        <w:tc>
          <w:tcPr>
            <w:tcW w:w="2880" w:type="dxa"/>
            <w:vMerge/>
            <w:tcBorders>
              <w:right w:val="dotted" w:sz="4" w:space="0" w:color="A6A6A6" w:themeColor="background1" w:themeShade="A6"/>
            </w:tcBorders>
            <w:vAlign w:val="center"/>
          </w:tcPr>
          <w:p w14:paraId="4075860F" w14:textId="77777777" w:rsidR="000A47D0" w:rsidRPr="00B20DA3" w:rsidRDefault="000A47D0" w:rsidP="000A47D0">
            <w:pPr>
              <w:keepNext/>
              <w:keepLines/>
              <w:spacing w:before="0" w:after="0"/>
              <w:jc w:val="center"/>
              <w:rPr>
                <w:sz w:val="20"/>
                <w:szCs w:val="20"/>
              </w:rPr>
            </w:pPr>
          </w:p>
        </w:tc>
        <w:tc>
          <w:tcPr>
            <w:tcW w:w="2880" w:type="dxa"/>
            <w:tcBorders>
              <w:left w:val="dotted" w:sz="4" w:space="0" w:color="A6A6A6" w:themeColor="background1" w:themeShade="A6"/>
            </w:tcBorders>
            <w:vAlign w:val="center"/>
          </w:tcPr>
          <w:p w14:paraId="77A4D226" w14:textId="77777777" w:rsidR="000A47D0" w:rsidRDefault="000A47D0" w:rsidP="000A47D0">
            <w:pPr>
              <w:keepNext/>
              <w:keepLines/>
              <w:spacing w:before="0" w:after="0"/>
              <w:jc w:val="center"/>
              <w:rPr>
                <w:sz w:val="20"/>
                <w:szCs w:val="20"/>
              </w:rPr>
            </w:pPr>
            <w:r>
              <w:rPr>
                <w:sz w:val="20"/>
                <w:szCs w:val="20"/>
              </w:rPr>
              <w:t>3.</w:t>
            </w:r>
            <w:r w:rsidR="00FF2BE0">
              <w:rPr>
                <w:sz w:val="20"/>
                <w:szCs w:val="20"/>
              </w:rPr>
              <w:t>09</w:t>
            </w:r>
          </w:p>
        </w:tc>
        <w:tc>
          <w:tcPr>
            <w:tcW w:w="2880" w:type="dxa"/>
            <w:vMerge w:val="restart"/>
            <w:tcBorders>
              <w:right w:val="dotted" w:sz="4" w:space="0" w:color="A6A6A6" w:themeColor="background1" w:themeShade="A6"/>
            </w:tcBorders>
            <w:vAlign w:val="center"/>
          </w:tcPr>
          <w:p w14:paraId="091F00CE" w14:textId="77777777" w:rsidR="000A47D0" w:rsidRDefault="000A47D0" w:rsidP="000A47D0">
            <w:pPr>
              <w:keepNext/>
              <w:keepLines/>
              <w:spacing w:before="0" w:after="0"/>
              <w:jc w:val="center"/>
              <w:rPr>
                <w:sz w:val="20"/>
                <w:szCs w:val="20"/>
              </w:rPr>
            </w:pPr>
            <w:r>
              <w:rPr>
                <w:sz w:val="20"/>
                <w:szCs w:val="20"/>
              </w:rPr>
              <w:t xml:space="preserve">&lt; 35 Vol. ≤ 45 </w:t>
            </w:r>
          </w:p>
        </w:tc>
        <w:tc>
          <w:tcPr>
            <w:tcW w:w="2880" w:type="dxa"/>
            <w:tcBorders>
              <w:left w:val="dotted" w:sz="4" w:space="0" w:color="A6A6A6" w:themeColor="background1" w:themeShade="A6"/>
            </w:tcBorders>
            <w:vAlign w:val="center"/>
          </w:tcPr>
          <w:p w14:paraId="056EA233" w14:textId="77777777" w:rsidR="000A47D0" w:rsidRDefault="000A47D0" w:rsidP="000A47D0">
            <w:pPr>
              <w:keepNext/>
              <w:keepLines/>
              <w:spacing w:before="0" w:after="0"/>
              <w:jc w:val="center"/>
              <w:rPr>
                <w:sz w:val="20"/>
                <w:szCs w:val="20"/>
              </w:rPr>
            </w:pPr>
            <w:r>
              <w:rPr>
                <w:sz w:val="20"/>
                <w:szCs w:val="20"/>
              </w:rPr>
              <w:t>0.</w:t>
            </w:r>
            <w:r w:rsidR="00FF2BE0">
              <w:rPr>
                <w:sz w:val="20"/>
                <w:szCs w:val="20"/>
              </w:rPr>
              <w:t>92</w:t>
            </w:r>
          </w:p>
        </w:tc>
      </w:tr>
      <w:tr w:rsidR="000A47D0" w:rsidRPr="00B20DA3" w14:paraId="700EDDF5" w14:textId="77777777" w:rsidTr="0077770F">
        <w:trPr>
          <w:trHeight w:val="287"/>
        </w:trPr>
        <w:tc>
          <w:tcPr>
            <w:tcW w:w="2880" w:type="dxa"/>
            <w:vMerge/>
            <w:tcBorders>
              <w:right w:val="dotted" w:sz="4" w:space="0" w:color="A6A6A6" w:themeColor="background1" w:themeShade="A6"/>
            </w:tcBorders>
            <w:vAlign w:val="center"/>
          </w:tcPr>
          <w:p w14:paraId="47AA2E82" w14:textId="77777777" w:rsidR="000A47D0" w:rsidRPr="00B20DA3" w:rsidRDefault="000A47D0" w:rsidP="000A47D0">
            <w:pPr>
              <w:keepNext/>
              <w:keepLines/>
              <w:spacing w:before="0" w:after="0"/>
              <w:jc w:val="center"/>
              <w:rPr>
                <w:sz w:val="20"/>
                <w:szCs w:val="20"/>
              </w:rPr>
            </w:pPr>
          </w:p>
        </w:tc>
        <w:tc>
          <w:tcPr>
            <w:tcW w:w="2880" w:type="dxa"/>
            <w:tcBorders>
              <w:left w:val="dotted" w:sz="4" w:space="0" w:color="A6A6A6" w:themeColor="background1" w:themeShade="A6"/>
            </w:tcBorders>
            <w:vAlign w:val="center"/>
          </w:tcPr>
          <w:p w14:paraId="66C70226" w14:textId="77777777" w:rsidR="000A47D0" w:rsidRDefault="000A47D0" w:rsidP="000A47D0">
            <w:pPr>
              <w:keepNext/>
              <w:keepLines/>
              <w:spacing w:before="0" w:after="0"/>
              <w:jc w:val="center"/>
              <w:rPr>
                <w:sz w:val="20"/>
                <w:szCs w:val="20"/>
              </w:rPr>
            </w:pPr>
            <w:r>
              <w:rPr>
                <w:sz w:val="20"/>
                <w:szCs w:val="20"/>
              </w:rPr>
              <w:t>3.</w:t>
            </w:r>
            <w:r w:rsidR="00FF2BE0">
              <w:rPr>
                <w:sz w:val="20"/>
                <w:szCs w:val="20"/>
              </w:rPr>
              <w:t>31</w:t>
            </w:r>
          </w:p>
        </w:tc>
        <w:tc>
          <w:tcPr>
            <w:tcW w:w="2880" w:type="dxa"/>
            <w:vMerge/>
            <w:tcBorders>
              <w:right w:val="dotted" w:sz="4" w:space="0" w:color="A6A6A6" w:themeColor="background1" w:themeShade="A6"/>
            </w:tcBorders>
            <w:vAlign w:val="center"/>
          </w:tcPr>
          <w:p w14:paraId="7BAA5A9F" w14:textId="77777777" w:rsidR="000A47D0" w:rsidRDefault="000A47D0" w:rsidP="000A47D0">
            <w:pPr>
              <w:keepNext/>
              <w:keepLines/>
              <w:spacing w:before="0" w:after="0"/>
              <w:jc w:val="center"/>
              <w:rPr>
                <w:sz w:val="20"/>
                <w:szCs w:val="20"/>
              </w:rPr>
            </w:pPr>
          </w:p>
        </w:tc>
        <w:tc>
          <w:tcPr>
            <w:tcW w:w="2880" w:type="dxa"/>
            <w:tcBorders>
              <w:left w:val="dotted" w:sz="4" w:space="0" w:color="A6A6A6" w:themeColor="background1" w:themeShade="A6"/>
            </w:tcBorders>
            <w:vAlign w:val="center"/>
          </w:tcPr>
          <w:p w14:paraId="51637867" w14:textId="77777777" w:rsidR="000A47D0" w:rsidRDefault="000A47D0" w:rsidP="000A47D0">
            <w:pPr>
              <w:keepNext/>
              <w:keepLines/>
              <w:spacing w:before="0" w:after="0"/>
              <w:jc w:val="center"/>
              <w:rPr>
                <w:sz w:val="20"/>
                <w:szCs w:val="20"/>
              </w:rPr>
            </w:pPr>
            <w:r>
              <w:rPr>
                <w:sz w:val="20"/>
                <w:szCs w:val="20"/>
              </w:rPr>
              <w:t>0.</w:t>
            </w:r>
            <w:r w:rsidR="00FF2BE0">
              <w:rPr>
                <w:sz w:val="20"/>
                <w:szCs w:val="20"/>
              </w:rPr>
              <w:t>92</w:t>
            </w:r>
          </w:p>
        </w:tc>
      </w:tr>
      <w:tr w:rsidR="000A47D0" w:rsidRPr="00B20DA3" w14:paraId="7A7017A0" w14:textId="77777777" w:rsidTr="0077770F">
        <w:trPr>
          <w:trHeight w:val="287"/>
        </w:trPr>
        <w:tc>
          <w:tcPr>
            <w:tcW w:w="2880" w:type="dxa"/>
            <w:vMerge/>
            <w:tcBorders>
              <w:right w:val="dotted" w:sz="4" w:space="0" w:color="A6A6A6" w:themeColor="background1" w:themeShade="A6"/>
            </w:tcBorders>
            <w:vAlign w:val="center"/>
          </w:tcPr>
          <w:p w14:paraId="0565F858" w14:textId="77777777" w:rsidR="000A47D0" w:rsidRPr="00B20DA3" w:rsidRDefault="000A47D0" w:rsidP="000A47D0">
            <w:pPr>
              <w:keepNext/>
              <w:keepLines/>
              <w:spacing w:before="0" w:after="0"/>
              <w:jc w:val="center"/>
              <w:rPr>
                <w:sz w:val="20"/>
                <w:szCs w:val="20"/>
              </w:rPr>
            </w:pPr>
          </w:p>
        </w:tc>
        <w:tc>
          <w:tcPr>
            <w:tcW w:w="2880" w:type="dxa"/>
            <w:tcBorders>
              <w:left w:val="dotted" w:sz="4" w:space="0" w:color="A6A6A6" w:themeColor="background1" w:themeShade="A6"/>
            </w:tcBorders>
            <w:vAlign w:val="center"/>
          </w:tcPr>
          <w:p w14:paraId="33F4F0A8" w14:textId="77777777" w:rsidR="000A47D0" w:rsidRDefault="000A47D0" w:rsidP="000A47D0">
            <w:pPr>
              <w:keepNext/>
              <w:keepLines/>
              <w:spacing w:before="0" w:after="0"/>
              <w:jc w:val="center"/>
              <w:rPr>
                <w:sz w:val="20"/>
                <w:szCs w:val="20"/>
              </w:rPr>
            </w:pPr>
            <w:r>
              <w:rPr>
                <w:sz w:val="20"/>
                <w:szCs w:val="20"/>
              </w:rPr>
              <w:t>3.</w:t>
            </w:r>
            <w:r w:rsidR="00FF2BE0">
              <w:rPr>
                <w:sz w:val="20"/>
                <w:szCs w:val="20"/>
              </w:rPr>
              <w:t>09</w:t>
            </w:r>
          </w:p>
        </w:tc>
        <w:tc>
          <w:tcPr>
            <w:tcW w:w="2880" w:type="dxa"/>
            <w:vMerge w:val="restart"/>
            <w:tcBorders>
              <w:right w:val="dotted" w:sz="4" w:space="0" w:color="A6A6A6" w:themeColor="background1" w:themeShade="A6"/>
            </w:tcBorders>
            <w:vAlign w:val="center"/>
          </w:tcPr>
          <w:p w14:paraId="56C128B5" w14:textId="77777777" w:rsidR="000A47D0" w:rsidRDefault="000A47D0" w:rsidP="002544B1">
            <w:pPr>
              <w:keepNext/>
              <w:keepLines/>
              <w:spacing w:before="0" w:after="0"/>
              <w:jc w:val="center"/>
              <w:rPr>
                <w:sz w:val="20"/>
                <w:szCs w:val="20"/>
              </w:rPr>
            </w:pPr>
            <w:r>
              <w:rPr>
                <w:sz w:val="20"/>
                <w:szCs w:val="20"/>
              </w:rPr>
              <w:t xml:space="preserve">&lt; </w:t>
            </w:r>
            <w:r w:rsidR="002544B1">
              <w:rPr>
                <w:sz w:val="20"/>
                <w:szCs w:val="20"/>
              </w:rPr>
              <w:t xml:space="preserve">45 </w:t>
            </w:r>
            <w:r>
              <w:rPr>
                <w:sz w:val="20"/>
                <w:szCs w:val="20"/>
              </w:rPr>
              <w:t xml:space="preserve">Vol. ≤ 55 </w:t>
            </w:r>
          </w:p>
        </w:tc>
        <w:tc>
          <w:tcPr>
            <w:tcW w:w="2880" w:type="dxa"/>
            <w:tcBorders>
              <w:left w:val="dotted" w:sz="4" w:space="0" w:color="A6A6A6" w:themeColor="background1" w:themeShade="A6"/>
            </w:tcBorders>
            <w:vAlign w:val="center"/>
          </w:tcPr>
          <w:p w14:paraId="4B439320" w14:textId="77777777" w:rsidR="000A47D0" w:rsidRDefault="000A47D0" w:rsidP="000A47D0">
            <w:pPr>
              <w:keepNext/>
              <w:keepLines/>
              <w:spacing w:before="0" w:after="0"/>
              <w:jc w:val="center"/>
              <w:rPr>
                <w:sz w:val="20"/>
                <w:szCs w:val="20"/>
              </w:rPr>
            </w:pPr>
            <w:r>
              <w:rPr>
                <w:sz w:val="20"/>
                <w:szCs w:val="20"/>
              </w:rPr>
              <w:t>0.</w:t>
            </w:r>
            <w:r w:rsidR="00FF2BE0">
              <w:rPr>
                <w:sz w:val="20"/>
                <w:szCs w:val="20"/>
              </w:rPr>
              <w:t>92</w:t>
            </w:r>
          </w:p>
        </w:tc>
      </w:tr>
      <w:tr w:rsidR="000A47D0" w:rsidRPr="00B20DA3" w14:paraId="56F7E42D" w14:textId="77777777" w:rsidTr="0077770F">
        <w:trPr>
          <w:trHeight w:val="287"/>
        </w:trPr>
        <w:tc>
          <w:tcPr>
            <w:tcW w:w="2880" w:type="dxa"/>
            <w:vMerge/>
            <w:tcBorders>
              <w:right w:val="dotted" w:sz="4" w:space="0" w:color="A6A6A6" w:themeColor="background1" w:themeShade="A6"/>
            </w:tcBorders>
            <w:vAlign w:val="center"/>
          </w:tcPr>
          <w:p w14:paraId="39474FA2" w14:textId="77777777" w:rsidR="000A47D0" w:rsidRPr="00B20DA3" w:rsidRDefault="000A47D0" w:rsidP="000A47D0">
            <w:pPr>
              <w:keepNext/>
              <w:keepLines/>
              <w:spacing w:before="0" w:after="0"/>
              <w:jc w:val="center"/>
              <w:rPr>
                <w:sz w:val="20"/>
                <w:szCs w:val="20"/>
              </w:rPr>
            </w:pPr>
          </w:p>
        </w:tc>
        <w:tc>
          <w:tcPr>
            <w:tcW w:w="2880" w:type="dxa"/>
            <w:tcBorders>
              <w:left w:val="dotted" w:sz="4" w:space="0" w:color="A6A6A6" w:themeColor="background1" w:themeShade="A6"/>
            </w:tcBorders>
            <w:vAlign w:val="center"/>
          </w:tcPr>
          <w:p w14:paraId="7FC6D316" w14:textId="77777777" w:rsidR="000A47D0" w:rsidRDefault="000A47D0" w:rsidP="000A47D0">
            <w:pPr>
              <w:keepNext/>
              <w:keepLines/>
              <w:spacing w:before="0" w:after="0"/>
              <w:jc w:val="center"/>
              <w:rPr>
                <w:sz w:val="20"/>
                <w:szCs w:val="20"/>
              </w:rPr>
            </w:pPr>
            <w:r>
              <w:rPr>
                <w:sz w:val="20"/>
                <w:szCs w:val="20"/>
              </w:rPr>
              <w:t>3.</w:t>
            </w:r>
            <w:r w:rsidR="00FF2BE0">
              <w:rPr>
                <w:sz w:val="20"/>
                <w:szCs w:val="20"/>
              </w:rPr>
              <w:t>31</w:t>
            </w:r>
          </w:p>
        </w:tc>
        <w:tc>
          <w:tcPr>
            <w:tcW w:w="2880" w:type="dxa"/>
            <w:vMerge/>
            <w:tcBorders>
              <w:right w:val="dotted" w:sz="4" w:space="0" w:color="A6A6A6" w:themeColor="background1" w:themeShade="A6"/>
            </w:tcBorders>
            <w:vAlign w:val="center"/>
          </w:tcPr>
          <w:p w14:paraId="099D0003" w14:textId="77777777" w:rsidR="000A47D0" w:rsidRDefault="000A47D0" w:rsidP="000A47D0">
            <w:pPr>
              <w:keepNext/>
              <w:keepLines/>
              <w:spacing w:before="0" w:after="0"/>
              <w:jc w:val="center"/>
              <w:rPr>
                <w:sz w:val="20"/>
                <w:szCs w:val="20"/>
              </w:rPr>
            </w:pPr>
          </w:p>
        </w:tc>
        <w:tc>
          <w:tcPr>
            <w:tcW w:w="2880" w:type="dxa"/>
            <w:tcBorders>
              <w:left w:val="dotted" w:sz="4" w:space="0" w:color="A6A6A6" w:themeColor="background1" w:themeShade="A6"/>
            </w:tcBorders>
            <w:vAlign w:val="center"/>
          </w:tcPr>
          <w:p w14:paraId="671620DE" w14:textId="77777777" w:rsidR="000A47D0" w:rsidRDefault="000A47D0" w:rsidP="000A47D0">
            <w:pPr>
              <w:keepNext/>
              <w:keepLines/>
              <w:spacing w:before="0" w:after="0"/>
              <w:jc w:val="center"/>
              <w:rPr>
                <w:sz w:val="20"/>
                <w:szCs w:val="20"/>
              </w:rPr>
            </w:pPr>
            <w:r>
              <w:rPr>
                <w:sz w:val="20"/>
                <w:szCs w:val="20"/>
              </w:rPr>
              <w:t>0.</w:t>
            </w:r>
            <w:r w:rsidR="00FF2BE0">
              <w:rPr>
                <w:sz w:val="20"/>
                <w:szCs w:val="20"/>
              </w:rPr>
              <w:t>92</w:t>
            </w:r>
          </w:p>
        </w:tc>
      </w:tr>
      <w:tr w:rsidR="000A47D0" w:rsidRPr="00B20DA3" w14:paraId="477E90D1" w14:textId="77777777" w:rsidTr="0077770F">
        <w:trPr>
          <w:trHeight w:val="287"/>
        </w:trPr>
        <w:tc>
          <w:tcPr>
            <w:tcW w:w="2880" w:type="dxa"/>
            <w:tcBorders>
              <w:right w:val="dotted" w:sz="4" w:space="0" w:color="A6A6A6" w:themeColor="background1" w:themeShade="A6"/>
            </w:tcBorders>
            <w:vAlign w:val="center"/>
          </w:tcPr>
          <w:p w14:paraId="7EF97207" w14:textId="77777777" w:rsidR="000A47D0" w:rsidRPr="00B20DA3" w:rsidRDefault="000A47D0" w:rsidP="000A47D0">
            <w:pPr>
              <w:keepNext/>
              <w:keepLines/>
              <w:spacing w:before="0" w:after="0"/>
              <w:jc w:val="center"/>
              <w:rPr>
                <w:sz w:val="20"/>
                <w:szCs w:val="20"/>
              </w:rPr>
            </w:pPr>
            <w:r>
              <w:rPr>
                <w:sz w:val="20"/>
                <w:szCs w:val="20"/>
              </w:rPr>
              <w:t xml:space="preserve">&lt; 55 Vol. ≤ 75 </w:t>
            </w:r>
          </w:p>
        </w:tc>
        <w:tc>
          <w:tcPr>
            <w:tcW w:w="2880" w:type="dxa"/>
            <w:tcBorders>
              <w:left w:val="dotted" w:sz="4" w:space="0" w:color="A6A6A6" w:themeColor="background1" w:themeShade="A6"/>
            </w:tcBorders>
            <w:vAlign w:val="center"/>
          </w:tcPr>
          <w:p w14:paraId="42987506" w14:textId="77777777" w:rsidR="000A47D0" w:rsidRDefault="000A47D0" w:rsidP="000A47D0">
            <w:pPr>
              <w:keepNext/>
              <w:keepLines/>
              <w:spacing w:before="0" w:after="0"/>
              <w:jc w:val="center"/>
              <w:rPr>
                <w:sz w:val="20"/>
                <w:szCs w:val="20"/>
              </w:rPr>
            </w:pPr>
            <w:r>
              <w:rPr>
                <w:sz w:val="20"/>
                <w:szCs w:val="20"/>
              </w:rPr>
              <w:t>3.</w:t>
            </w:r>
            <w:r w:rsidR="00FF2BE0">
              <w:rPr>
                <w:sz w:val="20"/>
                <w:szCs w:val="20"/>
              </w:rPr>
              <w:t>33</w:t>
            </w:r>
          </w:p>
        </w:tc>
        <w:tc>
          <w:tcPr>
            <w:tcW w:w="2880" w:type="dxa"/>
            <w:tcBorders>
              <w:right w:val="dotted" w:sz="4" w:space="0" w:color="A6A6A6" w:themeColor="background1" w:themeShade="A6"/>
            </w:tcBorders>
            <w:vAlign w:val="center"/>
          </w:tcPr>
          <w:p w14:paraId="6DCE3208" w14:textId="77777777" w:rsidR="000A47D0" w:rsidRDefault="000A47D0" w:rsidP="000A47D0">
            <w:pPr>
              <w:keepNext/>
              <w:keepLines/>
              <w:spacing w:before="0" w:after="0"/>
              <w:jc w:val="center"/>
              <w:rPr>
                <w:sz w:val="20"/>
                <w:szCs w:val="20"/>
              </w:rPr>
            </w:pPr>
            <w:r>
              <w:rPr>
                <w:sz w:val="20"/>
                <w:szCs w:val="20"/>
              </w:rPr>
              <w:t xml:space="preserve">&lt; 55 Vol. ≤ 75 </w:t>
            </w:r>
          </w:p>
        </w:tc>
        <w:tc>
          <w:tcPr>
            <w:tcW w:w="2880" w:type="dxa"/>
            <w:tcBorders>
              <w:left w:val="dotted" w:sz="4" w:space="0" w:color="A6A6A6" w:themeColor="background1" w:themeShade="A6"/>
            </w:tcBorders>
            <w:vAlign w:val="center"/>
          </w:tcPr>
          <w:p w14:paraId="1A62485B" w14:textId="77777777" w:rsidR="000A47D0" w:rsidRDefault="00FF2BE0" w:rsidP="000A47D0">
            <w:pPr>
              <w:keepNext/>
              <w:keepLines/>
              <w:spacing w:before="0" w:after="0"/>
              <w:jc w:val="center"/>
              <w:rPr>
                <w:sz w:val="20"/>
                <w:szCs w:val="20"/>
              </w:rPr>
            </w:pPr>
            <w:r>
              <w:rPr>
                <w:sz w:val="20"/>
                <w:szCs w:val="20"/>
              </w:rPr>
              <w:t>2.91</w:t>
            </w:r>
          </w:p>
        </w:tc>
      </w:tr>
      <w:tr w:rsidR="000A47D0" w:rsidRPr="00B20DA3" w14:paraId="3DF97B02" w14:textId="77777777" w:rsidTr="0077770F">
        <w:trPr>
          <w:trHeight w:val="287"/>
        </w:trPr>
        <w:tc>
          <w:tcPr>
            <w:tcW w:w="2880" w:type="dxa"/>
            <w:tcBorders>
              <w:right w:val="dotted" w:sz="4" w:space="0" w:color="A6A6A6" w:themeColor="background1" w:themeShade="A6"/>
            </w:tcBorders>
            <w:vAlign w:val="center"/>
          </w:tcPr>
          <w:p w14:paraId="5D867FE2" w14:textId="77777777" w:rsidR="000A47D0" w:rsidRDefault="000A47D0" w:rsidP="000A47D0">
            <w:pPr>
              <w:keepNext/>
              <w:keepLines/>
              <w:spacing w:before="0" w:after="0"/>
              <w:jc w:val="center"/>
              <w:rPr>
                <w:sz w:val="20"/>
                <w:szCs w:val="20"/>
              </w:rPr>
            </w:pPr>
            <w:r>
              <w:rPr>
                <w:sz w:val="20"/>
                <w:szCs w:val="20"/>
              </w:rPr>
              <w:t>&gt; 75 gal</w:t>
            </w:r>
          </w:p>
        </w:tc>
        <w:tc>
          <w:tcPr>
            <w:tcW w:w="2880" w:type="dxa"/>
            <w:tcBorders>
              <w:left w:val="dotted" w:sz="4" w:space="0" w:color="A6A6A6" w:themeColor="background1" w:themeShade="A6"/>
            </w:tcBorders>
            <w:vAlign w:val="center"/>
          </w:tcPr>
          <w:p w14:paraId="0BE4F8C4" w14:textId="77777777" w:rsidR="000A47D0" w:rsidRDefault="000A47D0" w:rsidP="000A47D0">
            <w:pPr>
              <w:keepNext/>
              <w:keepLines/>
              <w:spacing w:before="0" w:after="0"/>
              <w:jc w:val="center"/>
              <w:rPr>
                <w:sz w:val="20"/>
                <w:szCs w:val="20"/>
              </w:rPr>
            </w:pPr>
            <w:r>
              <w:rPr>
                <w:sz w:val="20"/>
                <w:szCs w:val="20"/>
              </w:rPr>
              <w:t>3.</w:t>
            </w:r>
            <w:r w:rsidR="00FF2BE0">
              <w:rPr>
                <w:sz w:val="20"/>
                <w:szCs w:val="20"/>
              </w:rPr>
              <w:t>42</w:t>
            </w:r>
          </w:p>
        </w:tc>
        <w:tc>
          <w:tcPr>
            <w:tcW w:w="2880" w:type="dxa"/>
            <w:tcBorders>
              <w:right w:val="dotted" w:sz="4" w:space="0" w:color="A6A6A6" w:themeColor="background1" w:themeShade="A6"/>
            </w:tcBorders>
            <w:vAlign w:val="center"/>
          </w:tcPr>
          <w:p w14:paraId="6A282DC0" w14:textId="77777777" w:rsidR="000A47D0" w:rsidRDefault="000A47D0" w:rsidP="000A47D0">
            <w:pPr>
              <w:keepNext/>
              <w:keepLines/>
              <w:spacing w:before="0" w:after="0"/>
              <w:jc w:val="center"/>
              <w:rPr>
                <w:sz w:val="20"/>
                <w:szCs w:val="20"/>
              </w:rPr>
            </w:pPr>
            <w:r>
              <w:rPr>
                <w:sz w:val="20"/>
                <w:szCs w:val="20"/>
              </w:rPr>
              <w:t xml:space="preserve">&gt; 75 </w:t>
            </w:r>
          </w:p>
        </w:tc>
        <w:tc>
          <w:tcPr>
            <w:tcW w:w="2880" w:type="dxa"/>
            <w:tcBorders>
              <w:left w:val="dotted" w:sz="4" w:space="0" w:color="A6A6A6" w:themeColor="background1" w:themeShade="A6"/>
            </w:tcBorders>
            <w:vAlign w:val="center"/>
          </w:tcPr>
          <w:p w14:paraId="22700195" w14:textId="77777777" w:rsidR="000A47D0" w:rsidRDefault="000A47D0" w:rsidP="000A47D0">
            <w:pPr>
              <w:keepNext/>
              <w:keepLines/>
              <w:spacing w:before="0" w:after="0"/>
              <w:jc w:val="center"/>
              <w:rPr>
                <w:sz w:val="20"/>
                <w:szCs w:val="20"/>
              </w:rPr>
            </w:pPr>
            <w:r>
              <w:rPr>
                <w:sz w:val="20"/>
                <w:szCs w:val="20"/>
              </w:rPr>
              <w:t>3.00</w:t>
            </w:r>
          </w:p>
        </w:tc>
      </w:tr>
    </w:tbl>
    <w:p w14:paraId="26F0D950" w14:textId="77777777" w:rsidR="007562C1" w:rsidRDefault="007562C1" w:rsidP="003D1635">
      <w:pPr>
        <w:rPr>
          <w:rFonts w:cs="Calibri Light"/>
          <w:szCs w:val="22"/>
        </w:rPr>
      </w:pPr>
    </w:p>
    <w:p w14:paraId="00CDA6E3" w14:textId="77777777" w:rsidR="00E70CBD" w:rsidRPr="00171BB8" w:rsidRDefault="00E70CBD" w:rsidP="000F1A47">
      <w:pPr>
        <w:pStyle w:val="eTRMHeading3"/>
      </w:pPr>
      <w:bookmarkStart w:id="15" w:name="_Toc2234174"/>
      <w:r w:rsidRPr="004B06E3">
        <w:t>Base Case Description</w:t>
      </w:r>
      <w:bookmarkEnd w:id="12"/>
      <w:bookmarkEnd w:id="13"/>
      <w:bookmarkEnd w:id="15"/>
      <w:r w:rsidRPr="00171BB8">
        <w:t xml:space="preserve"> </w:t>
      </w:r>
    </w:p>
    <w:p w14:paraId="6C87F741" w14:textId="2FF93791" w:rsidR="00AA58CB" w:rsidRDefault="00AA58CB" w:rsidP="00AA58CB">
      <w:r>
        <w:rPr>
          <w:szCs w:val="22"/>
        </w:rPr>
        <w:t>The base case measure is defined as an electric storage water heater with a storage volume of 30, 40, or 50 gallons,</w:t>
      </w:r>
      <w:r w:rsidRPr="00E2466A">
        <w:t xml:space="preserve"> </w:t>
      </w:r>
      <w:r>
        <w:t xml:space="preserve">as specified </w:t>
      </w:r>
      <w:r w:rsidR="00566907">
        <w:t>in the table above</w:t>
      </w:r>
      <w:r>
        <w:rPr>
          <w:szCs w:val="22"/>
        </w:rPr>
        <w:t>.</w:t>
      </w:r>
      <w:r w:rsidRPr="00E54914">
        <w:t xml:space="preserve"> The minimum </w:t>
      </w:r>
      <w:r>
        <w:t>base case</w:t>
      </w:r>
      <w:r w:rsidRPr="00E54914">
        <w:t xml:space="preserve"> efficiencies are consistent with the </w:t>
      </w:r>
      <w:r w:rsidRPr="004E2773">
        <w:t>Code of Federal Regulations standards</w:t>
      </w:r>
      <w:r>
        <w:t xml:space="preserve"> (see Code Requirements)</w:t>
      </w:r>
      <w:r w:rsidRPr="004E2773">
        <w:t>.</w:t>
      </w:r>
    </w:p>
    <w:p w14:paraId="37255993" w14:textId="07E9502D" w:rsidR="00FB0638" w:rsidRDefault="00FB0638" w:rsidP="00FB0638">
      <w:pPr>
        <w:rPr>
          <w:rFonts w:cstheme="minorHAnsi"/>
        </w:rPr>
      </w:pPr>
      <w:r>
        <w:rPr>
          <w:rFonts w:cstheme="minorHAnsi"/>
        </w:rPr>
        <w:t xml:space="preserve">The </w:t>
      </w:r>
      <w:r w:rsidR="004E2773">
        <w:rPr>
          <w:rFonts w:cstheme="minorHAnsi"/>
        </w:rPr>
        <w:t>California Public Utilities Commission (CPUC)</w:t>
      </w:r>
      <w:r>
        <w:rPr>
          <w:rFonts w:cstheme="minorHAnsi"/>
        </w:rPr>
        <w:t xml:space="preserve"> </w:t>
      </w:r>
      <w:r w:rsidR="0011329B">
        <w:rPr>
          <w:rFonts w:cstheme="minorHAnsi"/>
        </w:rPr>
        <w:t>Energy Division webinar on 2019</w:t>
      </w:r>
      <w:r w:rsidR="00590966">
        <w:rPr>
          <w:rFonts w:cstheme="minorHAnsi"/>
        </w:rPr>
        <w:t xml:space="preserve"> Database of Energy Efficient Resources (</w:t>
      </w:r>
      <w:r w:rsidR="0011329B">
        <w:rPr>
          <w:rFonts w:cstheme="minorHAnsi"/>
        </w:rPr>
        <w:t>DEER</w:t>
      </w:r>
      <w:r w:rsidR="00590966">
        <w:rPr>
          <w:rFonts w:cstheme="minorHAnsi"/>
        </w:rPr>
        <w:t>)</w:t>
      </w:r>
      <w:r w:rsidR="0011329B">
        <w:rPr>
          <w:rFonts w:cstheme="minorHAnsi"/>
        </w:rPr>
        <w:t xml:space="preserve"> and the DEER 2017 and 2018 Updates</w:t>
      </w:r>
      <w:r w:rsidR="0011329B">
        <w:rPr>
          <w:rStyle w:val="FootnoteReference"/>
          <w:rFonts w:cstheme="minorHAnsi"/>
        </w:rPr>
        <w:footnoteReference w:id="3"/>
      </w:r>
      <w:r>
        <w:rPr>
          <w:rFonts w:cstheme="minorHAnsi"/>
        </w:rPr>
        <w:t xml:space="preserve"> </w:t>
      </w:r>
      <w:r w:rsidR="00474F1C">
        <w:rPr>
          <w:rFonts w:cstheme="minorHAnsi"/>
        </w:rPr>
        <w:t>presented</w:t>
      </w:r>
      <w:r>
        <w:rPr>
          <w:rFonts w:cstheme="minorHAnsi"/>
        </w:rPr>
        <w:t xml:space="preserve"> </w:t>
      </w:r>
      <w:r w:rsidR="00474F1C">
        <w:rPr>
          <w:rFonts w:cstheme="minorHAnsi"/>
        </w:rPr>
        <w:t xml:space="preserve">an analysis of </w:t>
      </w:r>
      <w:r>
        <w:rPr>
          <w:rFonts w:cstheme="minorHAnsi"/>
        </w:rPr>
        <w:t xml:space="preserve">the </w:t>
      </w:r>
      <w:r w:rsidR="00AA58CB">
        <w:rPr>
          <w:rFonts w:cstheme="minorHAnsi"/>
        </w:rPr>
        <w:t>2012 California Lighting and Appliance Saturation Survey (CLASS) data</w:t>
      </w:r>
      <w:r w:rsidR="0049175F">
        <w:rPr>
          <w:rStyle w:val="FootnoteReference"/>
          <w:rFonts w:cstheme="minorHAnsi"/>
        </w:rPr>
        <w:footnoteReference w:id="4"/>
      </w:r>
      <w:r w:rsidR="00AA58CB">
        <w:rPr>
          <w:rFonts w:cstheme="minorHAnsi"/>
        </w:rPr>
        <w:t xml:space="preserve"> </w:t>
      </w:r>
      <w:r w:rsidR="00474F1C">
        <w:rPr>
          <w:rFonts w:cstheme="minorHAnsi"/>
        </w:rPr>
        <w:t>that showed</w:t>
      </w:r>
      <w:r>
        <w:rPr>
          <w:rFonts w:cstheme="minorHAnsi"/>
        </w:rPr>
        <w:t xml:space="preserve"> </w:t>
      </w:r>
      <w:r w:rsidR="00CD0B65">
        <w:rPr>
          <w:rFonts w:cstheme="minorHAnsi"/>
        </w:rPr>
        <w:t>electric storage water heaters</w:t>
      </w:r>
      <w:r>
        <w:rPr>
          <w:rFonts w:cstheme="minorHAnsi"/>
        </w:rPr>
        <w:t xml:space="preserve"> are not t</w:t>
      </w:r>
      <w:r w:rsidR="000A4C01">
        <w:rPr>
          <w:rFonts w:cstheme="minorHAnsi"/>
        </w:rPr>
        <w:t>ypically installed at 60 and 75-</w:t>
      </w:r>
      <w:r>
        <w:rPr>
          <w:rFonts w:cstheme="minorHAnsi"/>
        </w:rPr>
        <w:t xml:space="preserve">gallon capacities. </w:t>
      </w:r>
      <w:r w:rsidR="00341BEC">
        <w:rPr>
          <w:rFonts w:cstheme="minorHAnsi"/>
        </w:rPr>
        <w:t>Thus</w:t>
      </w:r>
      <w:r>
        <w:rPr>
          <w:rFonts w:cstheme="minorHAnsi"/>
        </w:rPr>
        <w:t xml:space="preserve">, the base case for these sizes </w:t>
      </w:r>
      <w:r w:rsidR="00ED1856">
        <w:rPr>
          <w:rFonts w:cstheme="minorHAnsi"/>
        </w:rPr>
        <w:t>is a h</w:t>
      </w:r>
      <w:r w:rsidR="004F7E4C">
        <w:rPr>
          <w:rFonts w:cstheme="minorHAnsi"/>
        </w:rPr>
        <w:t>eat pump water heater</w:t>
      </w:r>
      <w:r>
        <w:rPr>
          <w:rFonts w:cstheme="minorHAnsi"/>
        </w:rPr>
        <w:t xml:space="preserve"> with </w:t>
      </w:r>
      <w:r w:rsidR="00ED1856">
        <w:rPr>
          <w:rFonts w:cstheme="minorHAnsi"/>
        </w:rPr>
        <w:t>a</w:t>
      </w:r>
      <w:r w:rsidR="00FF2BE0">
        <w:rPr>
          <w:rFonts w:cstheme="minorHAnsi"/>
        </w:rPr>
        <w:t xml:space="preserve"> uniform</w:t>
      </w:r>
      <w:r w:rsidR="00ED1856">
        <w:rPr>
          <w:rFonts w:cstheme="minorHAnsi"/>
        </w:rPr>
        <w:t xml:space="preserve"> </w:t>
      </w:r>
      <w:r w:rsidR="00CD0B65">
        <w:rPr>
          <w:rFonts w:cstheme="minorHAnsi"/>
        </w:rPr>
        <w:t xml:space="preserve">energy factor </w:t>
      </w:r>
      <w:r w:rsidR="00590966">
        <w:rPr>
          <w:rFonts w:cstheme="minorHAnsi"/>
        </w:rPr>
        <w:t xml:space="preserve">(UEF) </w:t>
      </w:r>
      <w:r w:rsidR="00CD0B65">
        <w:rPr>
          <w:rFonts w:cstheme="minorHAnsi"/>
        </w:rPr>
        <w:t>equal to</w:t>
      </w:r>
      <w:r w:rsidR="004F7E4C">
        <w:rPr>
          <w:rFonts w:cstheme="minorHAnsi"/>
        </w:rPr>
        <w:t xml:space="preserve"> </w:t>
      </w:r>
      <w:r w:rsidR="00FF2BE0">
        <w:rPr>
          <w:rFonts w:cstheme="minorHAnsi"/>
        </w:rPr>
        <w:t>2.91 and 3.00 respectively,</w:t>
      </w:r>
      <w:r>
        <w:rPr>
          <w:rFonts w:cstheme="minorHAnsi"/>
        </w:rPr>
        <w:t xml:space="preserve"> as </w:t>
      </w:r>
      <w:r w:rsidR="004F7E4C">
        <w:rPr>
          <w:rFonts w:cstheme="minorHAnsi"/>
        </w:rPr>
        <w:t>the industry standard practice</w:t>
      </w:r>
      <w:r w:rsidR="00ED1856">
        <w:rPr>
          <w:rFonts w:cstheme="minorHAnsi"/>
        </w:rPr>
        <w:t xml:space="preserve"> (</w:t>
      </w:r>
      <w:r>
        <w:rPr>
          <w:rFonts w:cstheme="minorHAnsi"/>
        </w:rPr>
        <w:t xml:space="preserve">determined based on the </w:t>
      </w:r>
      <w:r w:rsidR="00590966">
        <w:rPr>
          <w:rFonts w:cstheme="minorHAnsi"/>
        </w:rPr>
        <w:t>UEF ratings</w:t>
      </w:r>
      <w:r>
        <w:rPr>
          <w:rFonts w:cstheme="minorHAnsi"/>
        </w:rPr>
        <w:t xml:space="preserve"> of lower efficiency </w:t>
      </w:r>
      <w:r w:rsidR="00ED1856">
        <w:rPr>
          <w:rFonts w:cstheme="minorHAnsi"/>
        </w:rPr>
        <w:t xml:space="preserve">heat pump </w:t>
      </w:r>
      <w:r w:rsidR="004F7E4C">
        <w:rPr>
          <w:rFonts w:cstheme="minorHAnsi"/>
        </w:rPr>
        <w:t>models</w:t>
      </w:r>
      <w:r>
        <w:rPr>
          <w:rFonts w:cstheme="minorHAnsi"/>
        </w:rPr>
        <w:t xml:space="preserve"> on the market.</w:t>
      </w:r>
      <w:r w:rsidR="00ED1856">
        <w:rPr>
          <w:rFonts w:cstheme="minorHAnsi"/>
        </w:rPr>
        <w:t>)</w:t>
      </w:r>
    </w:p>
    <w:p w14:paraId="2EEA1D11" w14:textId="77777777" w:rsidR="00FB0638" w:rsidRPr="00D04D41" w:rsidRDefault="00FB0638" w:rsidP="006E1519"/>
    <w:p w14:paraId="6669E5A6" w14:textId="77777777" w:rsidR="007D230B" w:rsidRPr="00171BB8" w:rsidRDefault="007D230B" w:rsidP="000F1A47">
      <w:pPr>
        <w:pStyle w:val="eTRMHeading3"/>
      </w:pPr>
      <w:bookmarkStart w:id="16" w:name="_Toc486490850"/>
      <w:bookmarkStart w:id="17" w:name="_Toc486580921"/>
      <w:bookmarkStart w:id="18" w:name="_Toc2234175"/>
      <w:r w:rsidRPr="004B06E3">
        <w:t>Code Requirements</w:t>
      </w:r>
      <w:bookmarkEnd w:id="16"/>
      <w:bookmarkEnd w:id="17"/>
      <w:bookmarkEnd w:id="18"/>
    </w:p>
    <w:p w14:paraId="079BEE4B" w14:textId="77777777" w:rsidR="00130F27" w:rsidRPr="00130F27" w:rsidRDefault="00120EC2" w:rsidP="00130F27">
      <w:pPr>
        <w:rPr>
          <w:szCs w:val="22"/>
        </w:rPr>
      </w:pPr>
      <w:bookmarkStart w:id="19" w:name="_Ref486591603"/>
      <w:r w:rsidRPr="00130F27">
        <w:rPr>
          <w:szCs w:val="22"/>
        </w:rPr>
        <w:t xml:space="preserve">Applicable state and federal codes and standards for </w:t>
      </w:r>
      <w:r w:rsidR="00130F27" w:rsidRPr="00130F27">
        <w:rPr>
          <w:szCs w:val="22"/>
        </w:rPr>
        <w:t>heat pump</w:t>
      </w:r>
      <w:r w:rsidRPr="00130F27">
        <w:rPr>
          <w:szCs w:val="22"/>
        </w:rPr>
        <w:t xml:space="preserve"> water heaters are </w:t>
      </w:r>
      <w:r w:rsidR="00C80C62">
        <w:rPr>
          <w:szCs w:val="22"/>
        </w:rPr>
        <w:t>specified in the table below</w:t>
      </w:r>
      <w:r w:rsidRPr="00130F27">
        <w:rPr>
          <w:szCs w:val="22"/>
        </w:rPr>
        <w:t xml:space="preserve">. </w:t>
      </w:r>
      <w:r w:rsidR="00C80C62">
        <w:rPr>
          <w:szCs w:val="22"/>
        </w:rPr>
        <w:t>Note that t</w:t>
      </w:r>
      <w:r w:rsidR="00130F27" w:rsidRPr="00130F27">
        <w:rPr>
          <w:szCs w:val="22"/>
        </w:rPr>
        <w:t xml:space="preserve">he Code of Federal Regulations, 10 CFR 430.32(d) stipulates requirements for </w:t>
      </w:r>
      <w:r w:rsidR="00CD0B65">
        <w:rPr>
          <w:szCs w:val="22"/>
        </w:rPr>
        <w:t>electric storage water heaters</w:t>
      </w:r>
      <w:r w:rsidR="00130F27" w:rsidRPr="00130F27">
        <w:rPr>
          <w:szCs w:val="22"/>
        </w:rPr>
        <w:t xml:space="preserve"> but not </w:t>
      </w:r>
      <w:r w:rsidR="00CD0B65">
        <w:rPr>
          <w:szCs w:val="22"/>
        </w:rPr>
        <w:t>heat pump water heaters</w:t>
      </w:r>
      <w:r w:rsidR="00130F27" w:rsidRPr="00130F27">
        <w:rPr>
          <w:szCs w:val="22"/>
        </w:rPr>
        <w:t>. Title 20 follows the federal code.</w:t>
      </w:r>
    </w:p>
    <w:bookmarkEnd w:id="19"/>
    <w:p w14:paraId="041176AF" w14:textId="77777777" w:rsidR="0029646E" w:rsidRDefault="00FD2C54" w:rsidP="000A4C01">
      <w:pPr>
        <w:pStyle w:val="Caption"/>
      </w:pPr>
      <w:r w:rsidRPr="001F114E">
        <w:lastRenderedPageBreak/>
        <w:t xml:space="preserve">Applicable State and Federal Codes and Standards </w:t>
      </w:r>
    </w:p>
    <w:tbl>
      <w:tblPr>
        <w:tblW w:w="9450" w:type="dxa"/>
        <w:tblInd w:w="-9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60"/>
        <w:gridCol w:w="2430"/>
        <w:gridCol w:w="2160"/>
      </w:tblGrid>
      <w:tr w:rsidR="00CD40FD" w:rsidRPr="00120EC2" w14:paraId="0250CC55" w14:textId="77777777" w:rsidTr="00900024">
        <w:tc>
          <w:tcPr>
            <w:tcW w:w="4860" w:type="dxa"/>
            <w:shd w:val="clear" w:color="auto" w:fill="F2F2F2" w:themeFill="background1" w:themeFillShade="F2"/>
            <w:vAlign w:val="bottom"/>
          </w:tcPr>
          <w:p w14:paraId="2D02DD55" w14:textId="77777777" w:rsidR="00CD40FD" w:rsidRPr="00120EC2" w:rsidRDefault="00CD40FD" w:rsidP="00900024">
            <w:pPr>
              <w:keepNext/>
              <w:keepLines/>
              <w:spacing w:before="20" w:after="20"/>
              <w:rPr>
                <w:b/>
                <w:sz w:val="20"/>
                <w:szCs w:val="20"/>
              </w:rPr>
            </w:pPr>
            <w:bookmarkStart w:id="20" w:name="_Toc486490851"/>
            <w:bookmarkStart w:id="21" w:name="_Toc486580922"/>
            <w:r w:rsidRPr="00120EC2">
              <w:rPr>
                <w:b/>
                <w:sz w:val="20"/>
                <w:szCs w:val="20"/>
              </w:rPr>
              <w:t>Code</w:t>
            </w:r>
          </w:p>
        </w:tc>
        <w:tc>
          <w:tcPr>
            <w:tcW w:w="2430" w:type="dxa"/>
            <w:shd w:val="clear" w:color="auto" w:fill="F2F2F2" w:themeFill="background1" w:themeFillShade="F2"/>
            <w:vAlign w:val="bottom"/>
          </w:tcPr>
          <w:p w14:paraId="61F1E3D6" w14:textId="77777777" w:rsidR="00CD40FD" w:rsidRPr="00120EC2" w:rsidRDefault="00CD40FD" w:rsidP="00900024">
            <w:pPr>
              <w:keepNext/>
              <w:keepLines/>
              <w:spacing w:before="20" w:after="20"/>
              <w:jc w:val="center"/>
              <w:rPr>
                <w:b/>
                <w:sz w:val="20"/>
                <w:szCs w:val="20"/>
              </w:rPr>
            </w:pPr>
            <w:r w:rsidRPr="00120EC2">
              <w:rPr>
                <w:b/>
                <w:sz w:val="20"/>
                <w:szCs w:val="20"/>
              </w:rPr>
              <w:t>Applicable Code Reference</w:t>
            </w:r>
          </w:p>
        </w:tc>
        <w:tc>
          <w:tcPr>
            <w:tcW w:w="2160" w:type="dxa"/>
            <w:shd w:val="clear" w:color="auto" w:fill="F2F2F2" w:themeFill="background1" w:themeFillShade="F2"/>
            <w:vAlign w:val="bottom"/>
          </w:tcPr>
          <w:p w14:paraId="17BE8068" w14:textId="77777777" w:rsidR="00CD40FD" w:rsidRPr="00120EC2" w:rsidRDefault="00CD40FD" w:rsidP="00900024">
            <w:pPr>
              <w:keepNext/>
              <w:keepLines/>
              <w:spacing w:before="20" w:after="20"/>
              <w:jc w:val="center"/>
              <w:rPr>
                <w:b/>
                <w:sz w:val="20"/>
                <w:szCs w:val="20"/>
              </w:rPr>
            </w:pPr>
            <w:r w:rsidRPr="00120EC2">
              <w:rPr>
                <w:b/>
                <w:sz w:val="20"/>
                <w:szCs w:val="20"/>
              </w:rPr>
              <w:t>Effective Date</w:t>
            </w:r>
          </w:p>
        </w:tc>
      </w:tr>
      <w:tr w:rsidR="00CD40FD" w:rsidRPr="00120EC2" w14:paraId="11BA01E1" w14:textId="77777777" w:rsidTr="00900024">
        <w:trPr>
          <w:cantSplit/>
          <w:trHeight w:val="20"/>
        </w:trPr>
        <w:tc>
          <w:tcPr>
            <w:tcW w:w="4860" w:type="dxa"/>
            <w:shd w:val="clear" w:color="auto" w:fill="auto"/>
            <w:vAlign w:val="center"/>
          </w:tcPr>
          <w:p w14:paraId="70BB9558" w14:textId="77777777" w:rsidR="00CD40FD" w:rsidRPr="00120EC2" w:rsidRDefault="00CD40FD" w:rsidP="00120EC2">
            <w:pPr>
              <w:keepNext/>
              <w:keepLines/>
              <w:spacing w:before="20" w:after="20"/>
              <w:rPr>
                <w:rFonts w:cs="Calibri Light"/>
                <w:sz w:val="20"/>
                <w:szCs w:val="20"/>
              </w:rPr>
            </w:pPr>
            <w:r w:rsidRPr="00120EC2">
              <w:rPr>
                <w:rFonts w:cs="Calibri Light"/>
                <w:sz w:val="20"/>
                <w:szCs w:val="20"/>
              </w:rPr>
              <w:t>CA Appliance Efficiency Regulations – Title 20 (</w:t>
            </w:r>
            <w:r w:rsidR="00DA56FD" w:rsidRPr="00120EC2">
              <w:rPr>
                <w:rFonts w:cs="Calibri Light"/>
                <w:sz w:val="20"/>
                <w:szCs w:val="20"/>
              </w:rPr>
              <w:t>201</w:t>
            </w:r>
            <w:r w:rsidR="00DA56FD">
              <w:rPr>
                <w:rFonts w:cs="Calibri Light"/>
                <w:sz w:val="20"/>
                <w:szCs w:val="20"/>
              </w:rPr>
              <w:t>8</w:t>
            </w:r>
            <w:r w:rsidRPr="00120EC2">
              <w:rPr>
                <w:rFonts w:cs="Calibri Light"/>
                <w:sz w:val="20"/>
                <w:szCs w:val="20"/>
              </w:rPr>
              <w:t>)</w:t>
            </w:r>
          </w:p>
        </w:tc>
        <w:tc>
          <w:tcPr>
            <w:tcW w:w="2430" w:type="dxa"/>
            <w:shd w:val="clear" w:color="auto" w:fill="auto"/>
            <w:vAlign w:val="center"/>
          </w:tcPr>
          <w:p w14:paraId="675D4136" w14:textId="77777777" w:rsidR="00CD40FD" w:rsidRPr="00120EC2" w:rsidRDefault="00120EC2" w:rsidP="00900024">
            <w:pPr>
              <w:keepNext/>
              <w:keepLines/>
              <w:spacing w:before="20" w:after="20"/>
              <w:rPr>
                <w:rFonts w:cs="Arial"/>
                <w:sz w:val="20"/>
                <w:szCs w:val="20"/>
              </w:rPr>
            </w:pPr>
            <w:r w:rsidRPr="00120EC2">
              <w:rPr>
                <w:rFonts w:cstheme="minorHAnsi"/>
                <w:sz w:val="20"/>
                <w:szCs w:val="20"/>
              </w:rPr>
              <w:t>Section 1605.1</w:t>
            </w:r>
            <w:r w:rsidR="00CD40FD" w:rsidRPr="00120EC2">
              <w:rPr>
                <w:rFonts w:cstheme="minorHAnsi"/>
                <w:sz w:val="20"/>
                <w:szCs w:val="20"/>
              </w:rPr>
              <w:t>(f)</w:t>
            </w:r>
            <w:r w:rsidRPr="00120EC2">
              <w:rPr>
                <w:rFonts w:cstheme="minorHAnsi"/>
                <w:sz w:val="20"/>
                <w:szCs w:val="20"/>
              </w:rPr>
              <w:t>(2)</w:t>
            </w:r>
          </w:p>
        </w:tc>
        <w:tc>
          <w:tcPr>
            <w:tcW w:w="2160" w:type="dxa"/>
            <w:shd w:val="clear" w:color="auto" w:fill="auto"/>
            <w:vAlign w:val="center"/>
          </w:tcPr>
          <w:p w14:paraId="7F9BA947" w14:textId="77777777" w:rsidR="00CD40FD" w:rsidRPr="00120EC2" w:rsidRDefault="00120EC2" w:rsidP="00CD0B65">
            <w:pPr>
              <w:keepNext/>
              <w:keepLines/>
              <w:spacing w:before="20" w:after="20"/>
              <w:rPr>
                <w:rFonts w:cs="Calibri Light"/>
                <w:sz w:val="20"/>
                <w:szCs w:val="20"/>
              </w:rPr>
            </w:pPr>
            <w:r w:rsidRPr="00120EC2">
              <w:rPr>
                <w:rFonts w:cstheme="minorHAnsi"/>
                <w:sz w:val="20"/>
                <w:szCs w:val="20"/>
              </w:rPr>
              <w:t xml:space="preserve">January 1, </w:t>
            </w:r>
            <w:r w:rsidR="00DA56FD" w:rsidRPr="00120EC2">
              <w:rPr>
                <w:rFonts w:cstheme="minorHAnsi"/>
                <w:sz w:val="20"/>
                <w:szCs w:val="20"/>
              </w:rPr>
              <w:t>201</w:t>
            </w:r>
            <w:r w:rsidR="0056164D">
              <w:rPr>
                <w:rFonts w:cstheme="minorHAnsi"/>
                <w:sz w:val="20"/>
                <w:szCs w:val="20"/>
              </w:rPr>
              <w:t>8</w:t>
            </w:r>
          </w:p>
        </w:tc>
      </w:tr>
      <w:tr w:rsidR="00CD40FD" w:rsidRPr="00120EC2" w14:paraId="048453D5" w14:textId="77777777" w:rsidTr="00900024">
        <w:trPr>
          <w:cantSplit/>
          <w:trHeight w:val="20"/>
        </w:trPr>
        <w:tc>
          <w:tcPr>
            <w:tcW w:w="4860" w:type="dxa"/>
            <w:shd w:val="clear" w:color="auto" w:fill="auto"/>
            <w:vAlign w:val="center"/>
          </w:tcPr>
          <w:p w14:paraId="27E6DC99" w14:textId="77777777" w:rsidR="00CD40FD" w:rsidRPr="00120EC2" w:rsidRDefault="00CD40FD" w:rsidP="00120EC2">
            <w:pPr>
              <w:keepNext/>
              <w:keepLines/>
              <w:spacing w:before="20" w:after="20"/>
              <w:rPr>
                <w:rFonts w:cs="Calibri Light"/>
                <w:sz w:val="20"/>
                <w:szCs w:val="20"/>
              </w:rPr>
            </w:pPr>
            <w:r w:rsidRPr="00120EC2">
              <w:rPr>
                <w:rFonts w:cs="Calibri Light"/>
                <w:sz w:val="20"/>
                <w:szCs w:val="20"/>
              </w:rPr>
              <w:t>CA Building Energy Efficiency Standards – Title 24 (</w:t>
            </w:r>
            <w:r w:rsidR="00E24603" w:rsidRPr="00120EC2">
              <w:rPr>
                <w:rFonts w:cs="Calibri Light"/>
                <w:sz w:val="20"/>
                <w:szCs w:val="20"/>
              </w:rPr>
              <w:t>201</w:t>
            </w:r>
            <w:r w:rsidR="00E24603">
              <w:rPr>
                <w:rFonts w:cs="Calibri Light"/>
                <w:sz w:val="20"/>
                <w:szCs w:val="20"/>
              </w:rPr>
              <w:t>9</w:t>
            </w:r>
            <w:r w:rsidRPr="00120EC2">
              <w:rPr>
                <w:rFonts w:cs="Calibri Light"/>
                <w:sz w:val="20"/>
                <w:szCs w:val="20"/>
              </w:rPr>
              <w:t>)</w:t>
            </w:r>
          </w:p>
        </w:tc>
        <w:tc>
          <w:tcPr>
            <w:tcW w:w="2430" w:type="dxa"/>
            <w:shd w:val="clear" w:color="auto" w:fill="auto"/>
            <w:vAlign w:val="center"/>
          </w:tcPr>
          <w:p w14:paraId="5EA99479" w14:textId="77777777" w:rsidR="00CD40FD" w:rsidRPr="00120EC2" w:rsidRDefault="00CD40FD" w:rsidP="00120EC2">
            <w:pPr>
              <w:spacing w:before="20" w:after="20"/>
              <w:rPr>
                <w:rFonts w:cs="Calibri Light"/>
                <w:sz w:val="20"/>
                <w:szCs w:val="20"/>
              </w:rPr>
            </w:pPr>
            <w:r w:rsidRPr="00120EC2">
              <w:rPr>
                <w:rFonts w:cstheme="minorHAnsi"/>
                <w:sz w:val="20"/>
                <w:szCs w:val="20"/>
              </w:rPr>
              <w:t>Section 110.</w:t>
            </w:r>
            <w:r w:rsidR="00120EC2" w:rsidRPr="00120EC2">
              <w:rPr>
                <w:rFonts w:cstheme="minorHAnsi"/>
                <w:sz w:val="20"/>
                <w:szCs w:val="20"/>
              </w:rPr>
              <w:t>1</w:t>
            </w:r>
          </w:p>
        </w:tc>
        <w:tc>
          <w:tcPr>
            <w:tcW w:w="2160" w:type="dxa"/>
            <w:shd w:val="clear" w:color="auto" w:fill="auto"/>
            <w:vAlign w:val="center"/>
          </w:tcPr>
          <w:p w14:paraId="2AB1DD52" w14:textId="77777777" w:rsidR="00CD40FD" w:rsidRPr="00120EC2" w:rsidRDefault="00120EC2" w:rsidP="00CD0B65">
            <w:pPr>
              <w:keepNext/>
              <w:keepLines/>
              <w:spacing w:before="20" w:after="20"/>
              <w:rPr>
                <w:rFonts w:cs="Calibri Light"/>
                <w:sz w:val="20"/>
                <w:szCs w:val="20"/>
              </w:rPr>
            </w:pPr>
            <w:r w:rsidRPr="00120EC2">
              <w:rPr>
                <w:rFonts w:cstheme="minorHAnsi"/>
                <w:sz w:val="20"/>
                <w:szCs w:val="20"/>
              </w:rPr>
              <w:t xml:space="preserve">January 1, </w:t>
            </w:r>
            <w:r w:rsidR="0056164D" w:rsidRPr="00120EC2">
              <w:rPr>
                <w:rFonts w:cstheme="minorHAnsi"/>
                <w:sz w:val="20"/>
                <w:szCs w:val="20"/>
              </w:rPr>
              <w:t>20</w:t>
            </w:r>
            <w:r w:rsidR="0056164D">
              <w:rPr>
                <w:rFonts w:cstheme="minorHAnsi"/>
                <w:sz w:val="20"/>
                <w:szCs w:val="20"/>
              </w:rPr>
              <w:t>20</w:t>
            </w:r>
          </w:p>
        </w:tc>
      </w:tr>
      <w:tr w:rsidR="00120EC2" w:rsidRPr="00120EC2" w14:paraId="02CF4E01" w14:textId="77777777" w:rsidTr="00900024">
        <w:trPr>
          <w:cantSplit/>
          <w:trHeight w:val="20"/>
        </w:trPr>
        <w:tc>
          <w:tcPr>
            <w:tcW w:w="4860" w:type="dxa"/>
            <w:tcBorders>
              <w:bottom w:val="single" w:sz="4" w:space="0" w:color="A6A6A6" w:themeColor="background1" w:themeShade="A6"/>
            </w:tcBorders>
            <w:shd w:val="clear" w:color="auto" w:fill="auto"/>
            <w:vAlign w:val="center"/>
          </w:tcPr>
          <w:p w14:paraId="6390B8F7" w14:textId="77777777" w:rsidR="00120EC2" w:rsidRPr="00120EC2" w:rsidRDefault="00120EC2" w:rsidP="00900024">
            <w:pPr>
              <w:keepNext/>
              <w:keepLines/>
              <w:spacing w:before="20" w:after="20"/>
              <w:rPr>
                <w:rFonts w:cs="Calibri Light"/>
                <w:sz w:val="20"/>
                <w:szCs w:val="20"/>
              </w:rPr>
            </w:pPr>
            <w:r w:rsidRPr="00120EC2">
              <w:rPr>
                <w:rFonts w:cs="Calibri Light"/>
                <w:sz w:val="20"/>
                <w:szCs w:val="20"/>
              </w:rPr>
              <w:t>Federal Standards – Code of Federal Regulations</w:t>
            </w:r>
          </w:p>
        </w:tc>
        <w:tc>
          <w:tcPr>
            <w:tcW w:w="2430" w:type="dxa"/>
            <w:tcBorders>
              <w:bottom w:val="single" w:sz="4" w:space="0" w:color="A6A6A6" w:themeColor="background1" w:themeShade="A6"/>
            </w:tcBorders>
            <w:shd w:val="clear" w:color="auto" w:fill="auto"/>
          </w:tcPr>
          <w:p w14:paraId="4214CA7A" w14:textId="77777777" w:rsidR="00120EC2" w:rsidRPr="00120EC2" w:rsidRDefault="00120EC2" w:rsidP="00900024">
            <w:pPr>
              <w:keepNext/>
              <w:keepLines/>
              <w:spacing w:before="20" w:after="20"/>
              <w:rPr>
                <w:rFonts w:cs="Calibri Light"/>
                <w:sz w:val="20"/>
                <w:szCs w:val="20"/>
              </w:rPr>
            </w:pPr>
            <w:r w:rsidRPr="00120EC2">
              <w:rPr>
                <w:rFonts w:cstheme="minorHAnsi"/>
                <w:sz w:val="20"/>
                <w:szCs w:val="20"/>
              </w:rPr>
              <w:t>10 CFR 430.32(d)</w:t>
            </w:r>
          </w:p>
        </w:tc>
        <w:tc>
          <w:tcPr>
            <w:tcW w:w="2160" w:type="dxa"/>
            <w:tcBorders>
              <w:bottom w:val="single" w:sz="4" w:space="0" w:color="A6A6A6" w:themeColor="background1" w:themeShade="A6"/>
            </w:tcBorders>
            <w:shd w:val="clear" w:color="auto" w:fill="auto"/>
          </w:tcPr>
          <w:p w14:paraId="32A86FA1" w14:textId="77777777" w:rsidR="00120EC2" w:rsidRPr="00120EC2" w:rsidRDefault="00C80C62" w:rsidP="00CD0B65">
            <w:pPr>
              <w:keepNext/>
              <w:keepLines/>
              <w:spacing w:before="20" w:after="20"/>
              <w:rPr>
                <w:rFonts w:cs="Calibri Light"/>
                <w:sz w:val="20"/>
                <w:szCs w:val="20"/>
              </w:rPr>
            </w:pPr>
            <w:r>
              <w:rPr>
                <w:rFonts w:cstheme="minorHAnsi"/>
                <w:sz w:val="20"/>
              </w:rPr>
              <w:t>December 29, 2016</w:t>
            </w:r>
          </w:p>
        </w:tc>
      </w:tr>
    </w:tbl>
    <w:p w14:paraId="65F04006" w14:textId="77777777" w:rsidR="005E0411" w:rsidRDefault="005E0411" w:rsidP="00C80C62">
      <w:pPr>
        <w:tabs>
          <w:tab w:val="left" w:pos="1790"/>
        </w:tabs>
        <w:rPr>
          <w:rFonts w:cs="Arial"/>
          <w:szCs w:val="22"/>
        </w:rPr>
      </w:pPr>
    </w:p>
    <w:p w14:paraId="4CD500D8" w14:textId="77777777" w:rsidR="00C80C62" w:rsidRDefault="00C80C62" w:rsidP="00C80C62">
      <w:r>
        <w:rPr>
          <w:b/>
        </w:rPr>
        <w:t>Code of Federal Regulations</w:t>
      </w:r>
      <w:r w:rsidRPr="009A62ED">
        <w:rPr>
          <w:b/>
        </w:rPr>
        <w:t>.</w:t>
      </w:r>
      <w:r>
        <w:t xml:space="preserve"> In December 2016 the U.S. Department of Energy (DOE) issued a Final Ruling in Docket No. EERE-2015-BT-TP-0007 that established a new efficiency rating for all residential and some commercial water heating technologies are rated.</w:t>
      </w:r>
      <w:r>
        <w:rPr>
          <w:rStyle w:val="FootnoteReference"/>
        </w:rPr>
        <w:footnoteReference w:id="5"/>
      </w:r>
      <w:r>
        <w:t xml:space="preserve"> All water heaters within the scope of the ruling will no longer be rated with the energy Factor (EF), thermal efficiency (TE), or standby loss ratings; the Uniform Energy Factor (UEF) is the new metric for the energy efficiency of water heaters. A UEF rating is determined by assigning a water heater into one of four different categories of hot water usage and then evaluating its performance based on that usage.</w:t>
      </w:r>
      <w:r>
        <w:rPr>
          <w:rStyle w:val="FootnoteReference"/>
        </w:rPr>
        <w:footnoteReference w:id="6"/>
      </w:r>
      <w:r>
        <w:t xml:space="preserve"> The four categories are based on </w:t>
      </w:r>
      <w:r w:rsidRPr="0048047E">
        <w:rPr>
          <w:i/>
        </w:rPr>
        <w:t>draw pattern</w:t>
      </w:r>
      <w:r>
        <w:t xml:space="preserve"> – </w:t>
      </w:r>
      <w:r>
        <w:rPr>
          <w:i/>
        </w:rPr>
        <w:t xml:space="preserve">very small, low, medium, </w:t>
      </w:r>
      <w:r>
        <w:t xml:space="preserve">and </w:t>
      </w:r>
      <w:r>
        <w:rPr>
          <w:i/>
        </w:rPr>
        <w:t>high</w:t>
      </w:r>
      <w:r>
        <w:t xml:space="preserve">. This allows water heaters to be compared more easily between different types (i.e., storage and tankless), </w:t>
      </w:r>
      <w:proofErr w:type="gramStart"/>
      <w:r>
        <w:t>as long as</w:t>
      </w:r>
      <w:proofErr w:type="gramEnd"/>
      <w:r>
        <w:t xml:space="preserve"> units are compared within the same bin. </w:t>
      </w:r>
    </w:p>
    <w:p w14:paraId="228E4712" w14:textId="77777777" w:rsidR="00C80C62" w:rsidRDefault="00C80C62" w:rsidP="00C80C62">
      <w:r>
        <w:t>With this</w:t>
      </w:r>
      <w:r w:rsidRPr="00554685">
        <w:t xml:space="preserve"> final rul</w:t>
      </w:r>
      <w:r>
        <w:t>ing</w:t>
      </w:r>
      <w:r w:rsidRPr="00554685">
        <w:t xml:space="preserve">, </w:t>
      </w:r>
      <w:r>
        <w:t xml:space="preserve">the </w:t>
      </w:r>
      <w:r w:rsidRPr="00554685">
        <w:t>DOE establishe</w:t>
      </w:r>
      <w:r>
        <w:t>d</w:t>
      </w:r>
      <w:r w:rsidRPr="00554685">
        <w:t xml:space="preserve"> a mathematical conversion between the values determined using the </w:t>
      </w:r>
      <w:r>
        <w:t>ER, TE,</w:t>
      </w:r>
      <w:r w:rsidRPr="00554685">
        <w:t xml:space="preserve"> and </w:t>
      </w:r>
      <w:r>
        <w:t>SL</w:t>
      </w:r>
      <w:r w:rsidRPr="00554685">
        <w:t xml:space="preserve"> test procedures and the values determined using the uniform efficiency descriptor test procedure. The DOE used the conversion factors to derive minimum energy </w:t>
      </w:r>
      <w:r>
        <w:t>performance</w:t>
      </w:r>
      <w:r w:rsidRPr="00554685">
        <w:t xml:space="preserve"> standards </w:t>
      </w:r>
      <w:r>
        <w:t>based on</w:t>
      </w:r>
      <w:r w:rsidRPr="00554685">
        <w:t xml:space="preserve"> UEF. The standards denominated in UEF are neither more nor less stringent than the EF-denominated standards for consumer water heaters and for commercial water-heating equipment based on the </w:t>
      </w:r>
      <w:r>
        <w:t>TE</w:t>
      </w:r>
      <w:r w:rsidRPr="00554685">
        <w:t xml:space="preserve"> and </w:t>
      </w:r>
      <w:r>
        <w:t>SL</w:t>
      </w:r>
      <w:r w:rsidRPr="00554685">
        <w:t xml:space="preserve"> metrics.</w:t>
      </w:r>
    </w:p>
    <w:p w14:paraId="474946E5" w14:textId="77777777" w:rsidR="00C80C62" w:rsidRDefault="00C80C62" w:rsidP="00C80C62">
      <w:pPr>
        <w:tabs>
          <w:tab w:val="left" w:pos="1790"/>
        </w:tabs>
      </w:pPr>
      <w:r>
        <w:t>The following table from the Final Ruling provides the conversion equations from EF to UEF.</w:t>
      </w:r>
    </w:p>
    <w:p w14:paraId="6131925C" w14:textId="77777777" w:rsidR="00C80C62" w:rsidRPr="00A87969" w:rsidRDefault="00C80C62" w:rsidP="00C80C62">
      <w:pPr>
        <w:pStyle w:val="Caption"/>
      </w:pPr>
      <w:r>
        <w:lastRenderedPageBreak/>
        <w:t>Uniform Energy Factor Requirements of the Code of Federal Regulations</w:t>
      </w:r>
    </w:p>
    <w:p w14:paraId="45C8C517" w14:textId="77777777" w:rsidR="00C80C62" w:rsidRPr="00A87969" w:rsidRDefault="00C80C62" w:rsidP="00C80C62">
      <w:pPr>
        <w:rPr>
          <w:szCs w:val="22"/>
        </w:rPr>
      </w:pPr>
      <w:r>
        <w:rPr>
          <w:noProof/>
        </w:rPr>
        <w:drawing>
          <wp:inline distT="0" distB="0" distL="0" distR="0" wp14:anchorId="1ED397E3" wp14:editId="3676B436">
            <wp:extent cx="4462272" cy="3657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7"/>
                    <a:stretch>
                      <a:fillRect/>
                    </a:stretch>
                  </pic:blipFill>
                  <pic:spPr>
                    <a:xfrm>
                      <a:off x="0" y="0"/>
                      <a:ext cx="4462272" cy="3657600"/>
                    </a:xfrm>
                    <a:prstGeom prst="rect">
                      <a:avLst/>
                    </a:prstGeom>
                  </pic:spPr>
                </pic:pic>
              </a:graphicData>
            </a:graphic>
          </wp:inline>
        </w:drawing>
      </w:r>
    </w:p>
    <w:p w14:paraId="423DCBE3" w14:textId="77777777" w:rsidR="00C80C62" w:rsidRPr="002F2ED4" w:rsidRDefault="00C80C62" w:rsidP="00C80C62">
      <w:pPr>
        <w:pStyle w:val="eTRMTableFootnote"/>
      </w:pPr>
      <w:r w:rsidRPr="002F2ED4">
        <w:t>Source: Code of Federal Regulations at 10 CFR 430.32(d).</w:t>
      </w:r>
    </w:p>
    <w:p w14:paraId="57C396B6" w14:textId="77777777" w:rsidR="00C80C62" w:rsidRDefault="00C80C62" w:rsidP="00C80C62">
      <w:pPr>
        <w:tabs>
          <w:tab w:val="left" w:pos="1790"/>
        </w:tabs>
        <w:rPr>
          <w:rFonts w:cs="Arial"/>
          <w:szCs w:val="22"/>
        </w:rPr>
      </w:pPr>
    </w:p>
    <w:p w14:paraId="05799664" w14:textId="77777777" w:rsidR="00313776" w:rsidRPr="00A87969" w:rsidRDefault="00C80C62" w:rsidP="007B193E">
      <w:pPr>
        <w:pStyle w:val="Caption"/>
      </w:pPr>
      <w:r>
        <w:t xml:space="preserve">California Title 20: </w:t>
      </w:r>
      <w:r w:rsidR="00120EC2">
        <w:t>M</w:t>
      </w:r>
      <w:r w:rsidR="00120EC2" w:rsidRPr="00A87969">
        <w:t xml:space="preserve">inimum </w:t>
      </w:r>
      <w:r w:rsidR="00E24603">
        <w:t xml:space="preserve">Uniform </w:t>
      </w:r>
      <w:r w:rsidR="00120EC2" w:rsidRPr="00A87969">
        <w:t xml:space="preserve">Energy Factor </w:t>
      </w:r>
      <w:r w:rsidR="00120EC2">
        <w:t>R</w:t>
      </w:r>
      <w:r w:rsidR="00120EC2" w:rsidRPr="00A87969">
        <w:t xml:space="preserve">equirements for </w:t>
      </w:r>
      <w:r w:rsidR="00E24603">
        <w:t>Residential Duty Commercial Water Heaters</w:t>
      </w:r>
      <w:r w:rsidR="00120EC2">
        <w:rPr>
          <w:rFonts w:cs="Calibri Light"/>
          <w:szCs w:val="20"/>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0"/>
      </w:tblGrid>
      <w:tr w:rsidR="005E0411" w:rsidRPr="00A87969" w14:paraId="54C814E8" w14:textId="77777777" w:rsidTr="00C80C62">
        <w:tc>
          <w:tcPr>
            <w:tcW w:w="7380" w:type="dxa"/>
          </w:tcPr>
          <w:p w14:paraId="248B3EBD" w14:textId="77777777" w:rsidR="00E24603" w:rsidRPr="001C78B3" w:rsidRDefault="001A1F32" w:rsidP="00900024">
            <w:pPr>
              <w:rPr>
                <w:rFonts w:eastAsiaTheme="minorEastAsia"/>
              </w:rPr>
            </w:pPr>
            <w:r w:rsidRPr="00C80C62" w:rsidDel="001A1F32">
              <w:rPr>
                <w:noProof/>
                <w:sz w:val="18"/>
              </w:rPr>
              <w:t xml:space="preserve"> </w:t>
            </w:r>
            <w:r w:rsidR="00A22865" w:rsidRPr="00C80C62">
              <w:rPr>
                <w:sz w:val="18"/>
                <w:szCs w:val="24"/>
              </w:rPr>
              <w:t>(B) Residential-Duty Commercial Water Heaters. Each residential-duty commercial water heater must have a minimum uniform energy factor not less than the values shown in Table F-5.</w:t>
            </w:r>
          </w:p>
          <w:p w14:paraId="0CF2AC49" w14:textId="77777777" w:rsidR="00DA56FD" w:rsidRPr="00A87969" w:rsidRDefault="00380A43" w:rsidP="00900024">
            <w:pPr>
              <w:rPr>
                <w:rFonts w:cs="Arial"/>
                <w:b/>
                <w:i/>
              </w:rPr>
            </w:pPr>
            <w:r>
              <w:rPr>
                <w:noProof/>
              </w:rPr>
              <w:drawing>
                <wp:inline distT="0" distB="0" distL="0" distR="0" wp14:anchorId="02EC3FCE" wp14:editId="3C58808D">
                  <wp:extent cx="3766313" cy="2139950"/>
                  <wp:effectExtent l="0" t="0" r="571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778486" cy="2146867"/>
                          </a:xfrm>
                          <a:prstGeom prst="rect">
                            <a:avLst/>
                          </a:prstGeom>
                        </pic:spPr>
                      </pic:pic>
                    </a:graphicData>
                  </a:graphic>
                </wp:inline>
              </w:drawing>
            </w:r>
          </w:p>
        </w:tc>
      </w:tr>
    </w:tbl>
    <w:p w14:paraId="1AD6DE74" w14:textId="77777777" w:rsidR="005E0411" w:rsidRPr="002F2ED4" w:rsidRDefault="00130F27" w:rsidP="002F2ED4">
      <w:pPr>
        <w:pStyle w:val="eTRMTableFootnote"/>
      </w:pPr>
      <w:r w:rsidRPr="002F2ED4">
        <w:t xml:space="preserve">Source: </w:t>
      </w:r>
      <w:r w:rsidR="00CD0B65" w:rsidRPr="002F2ED4">
        <w:t xml:space="preserve">California Energy Commission (CEC). </w:t>
      </w:r>
      <w:r w:rsidR="00751772" w:rsidRPr="00C80C62">
        <w:rPr>
          <w:i/>
        </w:rPr>
        <w:t xml:space="preserve">2018 </w:t>
      </w:r>
      <w:r w:rsidR="00CD0B65" w:rsidRPr="00C80C62">
        <w:rPr>
          <w:i/>
        </w:rPr>
        <w:t>Appliance Efficiency Regulations.</w:t>
      </w:r>
      <w:r w:rsidR="00CD0B65" w:rsidRPr="002F2ED4">
        <w:t xml:space="preserve"> CEC-400-2017-002.</w:t>
      </w:r>
      <w:r w:rsidR="002F2ED4" w:rsidRPr="002F2ED4">
        <w:t xml:space="preserve"> Section 1605.1(f)</w:t>
      </w:r>
      <w:r w:rsidR="00751772">
        <w:t xml:space="preserve"> Table F-5</w:t>
      </w:r>
    </w:p>
    <w:p w14:paraId="4020B745" w14:textId="77777777" w:rsidR="005E0411" w:rsidRDefault="005E0411" w:rsidP="005E0411"/>
    <w:p w14:paraId="4223B592" w14:textId="77777777" w:rsidR="007D230B" w:rsidRPr="00171BB8" w:rsidRDefault="007D230B" w:rsidP="000F1A47">
      <w:pPr>
        <w:pStyle w:val="eTRMHeading3"/>
      </w:pPr>
      <w:bookmarkStart w:id="22" w:name="_Toc2234176"/>
      <w:r w:rsidRPr="00A83458">
        <w:lastRenderedPageBreak/>
        <w:t>Normalizing</w:t>
      </w:r>
      <w:r w:rsidRPr="00171BB8">
        <w:t xml:space="preserve"> Unit</w:t>
      </w:r>
      <w:bookmarkEnd w:id="20"/>
      <w:bookmarkEnd w:id="21"/>
      <w:bookmarkEnd w:id="22"/>
    </w:p>
    <w:p w14:paraId="6EF98444" w14:textId="77777777" w:rsidR="006B30FB" w:rsidRDefault="00C03981" w:rsidP="006B30FB">
      <w:r>
        <w:t>Each.</w:t>
      </w:r>
    </w:p>
    <w:p w14:paraId="755429EC" w14:textId="77777777" w:rsidR="005D0817" w:rsidRPr="007D230B" w:rsidRDefault="005D0817" w:rsidP="00486585"/>
    <w:p w14:paraId="38D94170" w14:textId="77777777" w:rsidR="007D230B" w:rsidRPr="004B06E3" w:rsidRDefault="007D230B" w:rsidP="00277AFF">
      <w:pPr>
        <w:pStyle w:val="eTRMHeading3"/>
      </w:pPr>
      <w:bookmarkStart w:id="23" w:name="_Toc486490852"/>
      <w:bookmarkStart w:id="24" w:name="_Toc486580923"/>
      <w:bookmarkStart w:id="25" w:name="_Toc2234177"/>
      <w:r w:rsidRPr="004B06E3">
        <w:t>Program Requirements</w:t>
      </w:r>
      <w:bookmarkEnd w:id="23"/>
      <w:bookmarkEnd w:id="24"/>
      <w:bookmarkEnd w:id="25"/>
      <w:r w:rsidRPr="004B06E3">
        <w:t xml:space="preserve"> </w:t>
      </w:r>
    </w:p>
    <w:p w14:paraId="01B04586" w14:textId="77777777" w:rsidR="00270840" w:rsidRDefault="00270840" w:rsidP="00270840">
      <w:pPr>
        <w:pStyle w:val="eTRMHeading5"/>
        <w:keepNext/>
        <w:keepLines/>
      </w:pPr>
      <w:r>
        <w:t>Measure Implementation Eligibility</w:t>
      </w:r>
    </w:p>
    <w:p w14:paraId="6267E55E" w14:textId="2D9D7FD0" w:rsidR="00270840" w:rsidRDefault="00270840" w:rsidP="00270840">
      <w:bookmarkStart w:id="26" w:name="_Hlk527543844"/>
      <w:bookmarkStart w:id="27"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6"/>
    </w:p>
    <w:p w14:paraId="0E3D1B4B" w14:textId="3BF0824A" w:rsidR="00310436" w:rsidRDefault="00310436" w:rsidP="00270840"/>
    <w:p w14:paraId="6086D5F3" w14:textId="6EF2829D" w:rsidR="00310436" w:rsidRDefault="00310436" w:rsidP="00310436">
      <w:r>
        <w:t>Specifically,</w:t>
      </w:r>
      <w:r>
        <w:t xml:space="preserve"> f</w:t>
      </w:r>
      <w:r w:rsidRPr="008E0277">
        <w:t xml:space="preserve">or </w:t>
      </w:r>
      <w:r>
        <w:t>N</w:t>
      </w:r>
      <w:r w:rsidRPr="008E0277">
        <w:t xml:space="preserve">ew </w:t>
      </w:r>
      <w:r>
        <w:t>C</w:t>
      </w:r>
      <w:r w:rsidRPr="008E0277">
        <w:t xml:space="preserve">onstruction, the baseline can be a gas-fired </w:t>
      </w:r>
      <w:r>
        <w:t>water heater</w:t>
      </w:r>
      <w:r w:rsidRPr="008E0277">
        <w:t>. But, energy savings</w:t>
      </w:r>
      <w:r>
        <w:t xml:space="preserve"> and measure cost in this workpaper</w:t>
      </w:r>
      <w:r w:rsidRPr="008E0277">
        <w:t xml:space="preserve"> </w:t>
      </w:r>
      <w:r>
        <w:t>are estimated and reported as</w:t>
      </w:r>
      <w:r w:rsidRPr="008E0277">
        <w:t xml:space="preserve"> the difference between the </w:t>
      </w:r>
      <w:r>
        <w:t xml:space="preserve">corresponding </w:t>
      </w:r>
      <w:r>
        <w:t xml:space="preserve"> </w:t>
      </w:r>
      <w:r>
        <w:t xml:space="preserve"> </w:t>
      </w:r>
      <w:r w:rsidRPr="008E0277">
        <w:t xml:space="preserve">Heat Pump </w:t>
      </w:r>
      <w:r>
        <w:t>Water Heater</w:t>
      </w:r>
      <w:r>
        <w:t xml:space="preserve"> </w:t>
      </w:r>
      <w:r w:rsidRPr="008E0277">
        <w:t xml:space="preserve">and the baseline electric </w:t>
      </w:r>
      <w:r>
        <w:t>resistance water heater</w:t>
      </w:r>
      <w:r>
        <w:t>.</w:t>
      </w:r>
    </w:p>
    <w:p w14:paraId="14C3239B" w14:textId="77777777" w:rsidR="00310436" w:rsidRDefault="00310436" w:rsidP="00270840"/>
    <w:bookmarkEnd w:id="27"/>
    <w:p w14:paraId="46D73020" w14:textId="77777777" w:rsidR="00270840" w:rsidRPr="00CC4643" w:rsidRDefault="00270840" w:rsidP="00270840">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85E1876" w14:textId="77777777" w:rsidR="00270840" w:rsidRDefault="00270840" w:rsidP="00270840">
      <w:pPr>
        <w:pStyle w:val="Caption"/>
        <w:keepNext w:val="0"/>
        <w:keepLines w:val="0"/>
      </w:pPr>
      <w:r>
        <w:t>Implementation Eligibility for Investor-Owned Utilities</w:t>
      </w:r>
    </w:p>
    <w:tbl>
      <w:tblPr>
        <w:tblW w:w="9077"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263"/>
        <w:gridCol w:w="2790"/>
        <w:gridCol w:w="3024"/>
      </w:tblGrid>
      <w:tr w:rsidR="00270840" w14:paraId="2B485C9D" w14:textId="77777777" w:rsidTr="00D239A1">
        <w:trPr>
          <w:cantSplit/>
          <w:trHeight w:val="20"/>
          <w:tblHeader/>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5CDD42BA" w14:textId="77777777" w:rsidR="00270840" w:rsidRPr="00830614" w:rsidRDefault="00270840" w:rsidP="00D239A1">
            <w:pPr>
              <w:spacing w:before="0" w:after="0" w:line="240" w:lineRule="exact"/>
              <w:rPr>
                <w:b/>
                <w:bCs/>
                <w:sz w:val="20"/>
                <w:szCs w:val="20"/>
              </w:rPr>
            </w:pPr>
            <w:r w:rsidRPr="00830614">
              <w:rPr>
                <w:b/>
                <w:bCs/>
                <w:sz w:val="20"/>
                <w:szCs w:val="20"/>
              </w:rPr>
              <w:t>Measure Application Type</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2F55CDEF" w14:textId="77777777" w:rsidR="00270840" w:rsidRPr="00830614" w:rsidRDefault="00270840" w:rsidP="00D239A1">
            <w:pPr>
              <w:spacing w:before="0" w:after="0" w:line="240" w:lineRule="exact"/>
              <w:rPr>
                <w:b/>
                <w:bCs/>
                <w:sz w:val="20"/>
                <w:szCs w:val="20"/>
              </w:rPr>
            </w:pPr>
            <w:r w:rsidRPr="00830614">
              <w:rPr>
                <w:b/>
                <w:bCs/>
                <w:sz w:val="20"/>
                <w:szCs w:val="20"/>
              </w:rPr>
              <w:t>Delivery Type</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09CA270A" w14:textId="77777777" w:rsidR="00270840" w:rsidRPr="00830614" w:rsidRDefault="00270840" w:rsidP="00D239A1">
            <w:pPr>
              <w:spacing w:before="0" w:after="0" w:line="240" w:lineRule="exact"/>
              <w:rPr>
                <w:b/>
                <w:bCs/>
                <w:sz w:val="20"/>
                <w:szCs w:val="20"/>
              </w:rPr>
            </w:pPr>
            <w:r w:rsidRPr="00830614">
              <w:rPr>
                <w:b/>
                <w:bCs/>
                <w:sz w:val="20"/>
                <w:szCs w:val="20"/>
              </w:rPr>
              <w:t>Sector</w:t>
            </w:r>
          </w:p>
        </w:tc>
      </w:tr>
      <w:tr w:rsidR="00270840" w14:paraId="0135942E" w14:textId="77777777" w:rsidTr="00D239A1">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215AC6F" w14:textId="77777777" w:rsidR="00270840" w:rsidRPr="00830614" w:rsidRDefault="00270840" w:rsidP="00D239A1">
            <w:pPr>
              <w:spacing w:before="0" w:after="0" w:line="240" w:lineRule="exact"/>
              <w:rPr>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484D70B" w14:textId="77777777" w:rsidR="00270840" w:rsidRPr="00830614" w:rsidRDefault="00270840" w:rsidP="00D239A1">
            <w:pPr>
              <w:spacing w:before="0" w:after="0" w:line="240" w:lineRule="exact"/>
              <w:rPr>
                <w:color w:val="000000"/>
                <w:sz w:val="20"/>
                <w:szCs w:val="20"/>
              </w:rPr>
            </w:pPr>
            <w:proofErr w:type="spellStart"/>
            <w:r>
              <w:rPr>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73AAE17" w14:textId="77777777" w:rsidR="00270840" w:rsidRPr="00830614" w:rsidRDefault="00270840" w:rsidP="00D239A1">
            <w:pPr>
              <w:spacing w:before="0" w:after="0" w:line="240" w:lineRule="exact"/>
              <w:rPr>
                <w:color w:val="000000"/>
                <w:sz w:val="20"/>
                <w:szCs w:val="20"/>
              </w:rPr>
            </w:pPr>
            <w:r>
              <w:rPr>
                <w:color w:val="000000"/>
                <w:sz w:val="20"/>
                <w:szCs w:val="20"/>
              </w:rPr>
              <w:t>Res</w:t>
            </w:r>
          </w:p>
        </w:tc>
      </w:tr>
      <w:tr w:rsidR="00270840" w14:paraId="6C2D2C07" w14:textId="77777777" w:rsidTr="00D239A1">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F826ACB" w14:textId="77777777" w:rsidR="00270840" w:rsidRPr="00830614" w:rsidRDefault="00270840" w:rsidP="00270840">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947F5E4" w14:textId="77777777" w:rsidR="00270840" w:rsidRDefault="00270840" w:rsidP="00270840">
            <w:pPr>
              <w:spacing w:before="0" w:after="0" w:line="240" w:lineRule="exact"/>
              <w:rPr>
                <w:color w:val="000000"/>
                <w:sz w:val="20"/>
                <w:szCs w:val="20"/>
              </w:rPr>
            </w:pPr>
            <w:proofErr w:type="spellStart"/>
            <w:r>
              <w:rPr>
                <w:color w:val="000000"/>
                <w:sz w:val="20"/>
                <w:szCs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8B112DA" w14:textId="77777777" w:rsidR="00270840" w:rsidRDefault="00270840" w:rsidP="00270840">
            <w:pPr>
              <w:spacing w:before="0" w:after="0" w:line="240" w:lineRule="exact"/>
              <w:rPr>
                <w:color w:val="000000"/>
                <w:sz w:val="20"/>
                <w:szCs w:val="20"/>
              </w:rPr>
            </w:pPr>
            <w:r>
              <w:rPr>
                <w:color w:val="000000"/>
                <w:sz w:val="20"/>
                <w:szCs w:val="20"/>
              </w:rPr>
              <w:t>Res</w:t>
            </w:r>
          </w:p>
        </w:tc>
      </w:tr>
      <w:tr w:rsidR="00270840" w14:paraId="433631BD" w14:textId="77777777" w:rsidTr="00D239A1">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BFF0BE5" w14:textId="77777777" w:rsidR="00270840" w:rsidRPr="00830614" w:rsidRDefault="00270840" w:rsidP="00270840">
            <w:pPr>
              <w:spacing w:before="0" w:after="0" w:line="240" w:lineRule="exact"/>
              <w:rPr>
                <w:rFonts w:cs="Calibri Light"/>
                <w:color w:val="000000"/>
                <w:sz w:val="20"/>
                <w:szCs w:val="20"/>
              </w:rPr>
            </w:pPr>
            <w:r w:rsidRPr="00830614">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27813B4" w14:textId="77777777" w:rsidR="00270840" w:rsidRDefault="00270840" w:rsidP="00270840">
            <w:pPr>
              <w:spacing w:before="0" w:after="0" w:line="240" w:lineRule="exact"/>
              <w:rPr>
                <w:color w:val="000000"/>
                <w:sz w:val="20"/>
                <w:szCs w:val="20"/>
              </w:rPr>
            </w:pPr>
            <w:proofErr w:type="spellStart"/>
            <w:r>
              <w:rPr>
                <w:color w:val="000000"/>
                <w:sz w:val="20"/>
                <w:szCs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398AD1D" w14:textId="77777777" w:rsidR="00270840" w:rsidRDefault="00270840" w:rsidP="00270840">
            <w:pPr>
              <w:spacing w:before="0" w:after="0" w:line="240" w:lineRule="exact"/>
              <w:rPr>
                <w:color w:val="000000"/>
                <w:sz w:val="20"/>
                <w:szCs w:val="20"/>
              </w:rPr>
            </w:pPr>
            <w:r>
              <w:rPr>
                <w:color w:val="000000"/>
                <w:sz w:val="20"/>
                <w:szCs w:val="20"/>
              </w:rPr>
              <w:t>Res</w:t>
            </w:r>
          </w:p>
        </w:tc>
      </w:tr>
      <w:tr w:rsidR="00270840" w14:paraId="1F024547" w14:textId="77777777" w:rsidTr="0027084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11EF169" w14:textId="77777777" w:rsidR="00270840" w:rsidRPr="00270840" w:rsidRDefault="00270840" w:rsidP="00270840">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B200323" w14:textId="77777777" w:rsidR="00270840" w:rsidRPr="00270840" w:rsidRDefault="00270840" w:rsidP="00270840">
            <w:pPr>
              <w:spacing w:before="0" w:after="0" w:line="240" w:lineRule="exact"/>
              <w:rPr>
                <w:rFonts w:cs="Calibri Light"/>
                <w:color w:val="000000"/>
                <w:sz w:val="20"/>
                <w:szCs w:val="20"/>
              </w:rPr>
            </w:pPr>
            <w:proofErr w:type="spellStart"/>
            <w:r w:rsidRPr="00270840">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625462F" w14:textId="77777777" w:rsidR="00270840" w:rsidRPr="00270840" w:rsidRDefault="00270840" w:rsidP="00270840">
            <w:pPr>
              <w:spacing w:before="0" w:after="0" w:line="240" w:lineRule="exact"/>
              <w:rPr>
                <w:rFonts w:cs="Calibri Light"/>
                <w:color w:val="000000"/>
                <w:sz w:val="20"/>
                <w:szCs w:val="20"/>
              </w:rPr>
            </w:pPr>
            <w:r w:rsidRPr="00270840">
              <w:rPr>
                <w:rFonts w:cs="Calibri Light"/>
                <w:color w:val="000000"/>
                <w:sz w:val="20"/>
                <w:szCs w:val="20"/>
              </w:rPr>
              <w:t>Res</w:t>
            </w:r>
          </w:p>
        </w:tc>
      </w:tr>
      <w:tr w:rsidR="00270840" w14:paraId="6C7D08BA" w14:textId="77777777" w:rsidTr="0027084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5288438" w14:textId="77777777" w:rsidR="00270840" w:rsidRPr="00270840" w:rsidRDefault="00270840" w:rsidP="00270840">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E65207F" w14:textId="77777777" w:rsidR="00270840" w:rsidRPr="00270840" w:rsidRDefault="00270840" w:rsidP="00270840">
            <w:pPr>
              <w:spacing w:before="0" w:after="0" w:line="240" w:lineRule="exact"/>
              <w:rPr>
                <w:rFonts w:cs="Calibri Light"/>
                <w:color w:val="000000"/>
                <w:sz w:val="20"/>
                <w:szCs w:val="20"/>
              </w:rPr>
            </w:pPr>
            <w:proofErr w:type="spellStart"/>
            <w:r w:rsidRPr="00270840">
              <w:rPr>
                <w:rFonts w:cs="Calibri Light"/>
                <w:color w:val="000000"/>
                <w:sz w:val="20"/>
                <w:szCs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89CA545" w14:textId="77777777" w:rsidR="00270840" w:rsidRPr="00270840" w:rsidRDefault="00270840" w:rsidP="00270840">
            <w:pPr>
              <w:spacing w:before="0" w:after="0" w:line="240" w:lineRule="exact"/>
              <w:rPr>
                <w:rFonts w:cs="Calibri Light"/>
                <w:color w:val="000000"/>
                <w:sz w:val="20"/>
                <w:szCs w:val="20"/>
              </w:rPr>
            </w:pPr>
            <w:r w:rsidRPr="00270840">
              <w:rPr>
                <w:rFonts w:cs="Calibri Light"/>
                <w:color w:val="000000"/>
                <w:sz w:val="20"/>
                <w:szCs w:val="20"/>
              </w:rPr>
              <w:t>Res</w:t>
            </w:r>
          </w:p>
        </w:tc>
      </w:tr>
      <w:tr w:rsidR="00270840" w14:paraId="25937D0E" w14:textId="77777777" w:rsidTr="0027084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3C4BE69" w14:textId="77777777" w:rsidR="00270840" w:rsidRPr="00270840" w:rsidRDefault="00270840" w:rsidP="00270840">
            <w:pPr>
              <w:spacing w:before="0" w:after="0" w:line="240" w:lineRule="exact"/>
              <w:rPr>
                <w:sz w:val="20"/>
                <w:szCs w:val="20"/>
              </w:rPr>
            </w:pPr>
            <w:r w:rsidRPr="00830614">
              <w:rPr>
                <w:sz w:val="20"/>
                <w:szCs w:val="20"/>
              </w:rPr>
              <w:t xml:space="preserve">New construction </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DC978EA" w14:textId="77777777" w:rsidR="00270840" w:rsidRPr="00270840" w:rsidRDefault="00270840" w:rsidP="00270840">
            <w:pPr>
              <w:spacing w:before="0" w:after="0" w:line="240" w:lineRule="exact"/>
              <w:rPr>
                <w:rFonts w:cs="Calibri Light"/>
                <w:color w:val="000000"/>
                <w:sz w:val="20"/>
                <w:szCs w:val="20"/>
              </w:rPr>
            </w:pPr>
            <w:proofErr w:type="spellStart"/>
            <w:r w:rsidRPr="00270840">
              <w:rPr>
                <w:rFonts w:cs="Calibri Light"/>
                <w:color w:val="000000"/>
                <w:sz w:val="20"/>
                <w:szCs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530A0BF" w14:textId="77777777" w:rsidR="00270840" w:rsidRPr="00270840" w:rsidRDefault="00270840" w:rsidP="00270840">
            <w:pPr>
              <w:spacing w:before="0" w:after="0" w:line="240" w:lineRule="exact"/>
              <w:rPr>
                <w:rFonts w:cs="Calibri Light"/>
                <w:color w:val="000000"/>
                <w:sz w:val="20"/>
                <w:szCs w:val="20"/>
              </w:rPr>
            </w:pPr>
            <w:r w:rsidRPr="00270840">
              <w:rPr>
                <w:rFonts w:cs="Calibri Light"/>
                <w:color w:val="000000"/>
                <w:sz w:val="20"/>
                <w:szCs w:val="20"/>
              </w:rPr>
              <w:t>Res</w:t>
            </w:r>
          </w:p>
        </w:tc>
      </w:tr>
    </w:tbl>
    <w:p w14:paraId="2631485F" w14:textId="77777777" w:rsidR="00270840" w:rsidRDefault="00270840" w:rsidP="00270840"/>
    <w:p w14:paraId="4BB22686" w14:textId="77777777" w:rsidR="00246F25" w:rsidRDefault="00196649" w:rsidP="00277AFF">
      <w:pPr>
        <w:pStyle w:val="eTRMHeading5"/>
        <w:keepNext/>
        <w:keepLines/>
      </w:pPr>
      <w:r>
        <w:t>Eligible Products</w:t>
      </w:r>
    </w:p>
    <w:p w14:paraId="0C7CBD7F" w14:textId="75E1A8C8" w:rsidR="007743C7" w:rsidRPr="000638FD" w:rsidRDefault="007743C7" w:rsidP="00AC0338">
      <w:r w:rsidRPr="006B3FA7">
        <w:t xml:space="preserve">The heat pump water heater must </w:t>
      </w:r>
      <w:r w:rsidR="00130F27">
        <w:t xml:space="preserve">meet the storage capacity and minimum efficiency requirements set forth in </w:t>
      </w:r>
      <w:r w:rsidR="00C57984">
        <w:t xml:space="preserve">the </w:t>
      </w:r>
      <w:r w:rsidR="00AC0338">
        <w:t>Measure Case Description</w:t>
      </w:r>
      <w:r w:rsidR="00130F27">
        <w:t>.</w:t>
      </w:r>
      <w:r w:rsidR="00AC0338">
        <w:t xml:space="preserve"> </w:t>
      </w:r>
      <w:r w:rsidRPr="006B3FA7">
        <w:t xml:space="preserve">Only residential-style electric storage water heaters </w:t>
      </w:r>
      <w:r w:rsidR="00C22794">
        <w:t xml:space="preserve">are </w:t>
      </w:r>
      <w:proofErr w:type="gramStart"/>
      <w:r w:rsidR="00C22794">
        <w:t>eligible</w:t>
      </w:r>
      <w:proofErr w:type="gramEnd"/>
      <w:r w:rsidR="00C57984">
        <w:t xml:space="preserve"> and t</w:t>
      </w:r>
      <w:r w:rsidR="00C57984" w:rsidRPr="006B3FA7">
        <w:t xml:space="preserve">he </w:t>
      </w:r>
      <w:r w:rsidR="00C57984">
        <w:t xml:space="preserve">installed </w:t>
      </w:r>
      <w:r w:rsidR="00C57984" w:rsidRPr="006B3FA7">
        <w:t xml:space="preserve">water heater storage capacity must be </w:t>
      </w:r>
      <w:r w:rsidR="00566907">
        <w:t xml:space="preserve">45 </w:t>
      </w:r>
      <w:r w:rsidR="00C57984" w:rsidRPr="006B3FA7">
        <w:t>gallons or greater.</w:t>
      </w:r>
    </w:p>
    <w:p w14:paraId="287E6A4F" w14:textId="77777777" w:rsidR="00A03EBC" w:rsidRDefault="00A03EBC" w:rsidP="00401C43">
      <w:pPr>
        <w:pStyle w:val="eTRMHeading5"/>
      </w:pPr>
    </w:p>
    <w:p w14:paraId="14C122E2" w14:textId="77777777" w:rsidR="007B6A74" w:rsidRDefault="007B6A74" w:rsidP="00401C43">
      <w:pPr>
        <w:pStyle w:val="eTRMHeading5"/>
      </w:pPr>
      <w:r w:rsidRPr="00401C43">
        <w:t>Eligible Building Types</w:t>
      </w:r>
    </w:p>
    <w:p w14:paraId="5063E4D5" w14:textId="77777777" w:rsidR="00AA58CB" w:rsidRDefault="00AA58CB" w:rsidP="00AA58CB">
      <w:r w:rsidRPr="006B3FA7">
        <w:t>This measure is applicable to single-family, multifamily, and double-wide mobile home residential building</w:t>
      </w:r>
      <w:r>
        <w:t>s</w:t>
      </w:r>
      <w:r w:rsidRPr="006B3FA7">
        <w:t xml:space="preserve"> types.</w:t>
      </w:r>
    </w:p>
    <w:p w14:paraId="234EAA14" w14:textId="77777777" w:rsidR="007743C7" w:rsidRPr="00766564" w:rsidRDefault="007743C7" w:rsidP="007823C2"/>
    <w:p w14:paraId="1BDF8DEB" w14:textId="77777777" w:rsidR="007B6A74" w:rsidRPr="004B06E3" w:rsidRDefault="00196649" w:rsidP="00154391">
      <w:pPr>
        <w:pStyle w:val="eTRMHeading5"/>
      </w:pPr>
      <w:r>
        <w:t>Eligible Climate Zones</w:t>
      </w:r>
    </w:p>
    <w:p w14:paraId="6A54433D" w14:textId="77777777" w:rsidR="00C6105E" w:rsidRDefault="00C15D93" w:rsidP="004B06E3">
      <w:r>
        <w:lastRenderedPageBreak/>
        <w:t>The measure is applicable in all California climate zones.</w:t>
      </w:r>
    </w:p>
    <w:p w14:paraId="3DA47751" w14:textId="77777777" w:rsidR="007823C2" w:rsidRPr="004B06E3" w:rsidRDefault="007823C2" w:rsidP="004B06E3"/>
    <w:p w14:paraId="69823770" w14:textId="77777777" w:rsidR="007D230B" w:rsidRDefault="007D230B" w:rsidP="000F1A47">
      <w:pPr>
        <w:pStyle w:val="eTRMHeading3"/>
      </w:pPr>
      <w:bookmarkStart w:id="28" w:name="_Toc486490853"/>
      <w:bookmarkStart w:id="29" w:name="_Toc486580924"/>
      <w:bookmarkStart w:id="30" w:name="_Toc2234178"/>
      <w:r w:rsidRPr="004B06E3">
        <w:t>Program Exclusions</w:t>
      </w:r>
      <w:bookmarkEnd w:id="28"/>
      <w:bookmarkEnd w:id="29"/>
      <w:bookmarkEnd w:id="30"/>
      <w:r w:rsidRPr="004B06E3">
        <w:t xml:space="preserve"> </w:t>
      </w:r>
    </w:p>
    <w:p w14:paraId="4395BBCC" w14:textId="77777777" w:rsidR="00DF0B52" w:rsidRDefault="00DF0B52" w:rsidP="00C57984">
      <w:r>
        <w:t xml:space="preserve">Replacement of </w:t>
      </w:r>
      <w:r w:rsidR="00C22794">
        <w:t xml:space="preserve">an </w:t>
      </w:r>
      <w:r w:rsidR="00130F27" w:rsidRPr="006B3FA7">
        <w:t>“</w:t>
      </w:r>
      <w:r w:rsidR="00C22794">
        <w:t>i</w:t>
      </w:r>
      <w:r w:rsidR="00130F27" w:rsidRPr="006B3FA7">
        <w:t xml:space="preserve">nstantaneous” </w:t>
      </w:r>
      <w:r w:rsidR="00C22794">
        <w:t>or</w:t>
      </w:r>
      <w:r w:rsidR="00130F27" w:rsidRPr="006B3FA7">
        <w:t xml:space="preserve"> “tankless” water heaters do</w:t>
      </w:r>
      <w:r w:rsidR="00C22794">
        <w:t>es</w:t>
      </w:r>
      <w:r w:rsidR="00130F27" w:rsidRPr="006B3FA7">
        <w:t xml:space="preserve"> not qualify.</w:t>
      </w:r>
      <w:r w:rsidRPr="00DF0B52">
        <w:t xml:space="preserve"> </w:t>
      </w:r>
    </w:p>
    <w:p w14:paraId="62526177" w14:textId="3C0DCF3D" w:rsidR="00DF0B52" w:rsidRPr="006B3FA7" w:rsidRDefault="00AA58CB" w:rsidP="00C57984">
      <w:r>
        <w:t xml:space="preserve">A </w:t>
      </w:r>
      <w:r w:rsidR="00566907">
        <w:t xml:space="preserve">new heat pump </w:t>
      </w:r>
      <w:r>
        <w:t xml:space="preserve">water heater with storage capacity less than 45 gallons does not qualify. </w:t>
      </w:r>
    </w:p>
    <w:p w14:paraId="0D7202B4" w14:textId="77777777" w:rsidR="00020218" w:rsidRPr="004B06E3" w:rsidRDefault="00020218" w:rsidP="004B06E3"/>
    <w:p w14:paraId="69DE5927" w14:textId="77777777" w:rsidR="007D230B" w:rsidRPr="004B06E3" w:rsidRDefault="007D230B" w:rsidP="002920CC">
      <w:pPr>
        <w:pStyle w:val="eTRMHeading3"/>
      </w:pPr>
      <w:bookmarkStart w:id="31" w:name="_Toc486490854"/>
      <w:bookmarkStart w:id="32" w:name="_Toc486580925"/>
      <w:bookmarkStart w:id="33" w:name="_Toc2234179"/>
      <w:r w:rsidRPr="004B06E3">
        <w:t>Data Collection Requirements</w:t>
      </w:r>
      <w:bookmarkEnd w:id="31"/>
      <w:bookmarkEnd w:id="32"/>
      <w:bookmarkEnd w:id="33"/>
      <w:r w:rsidRPr="004B06E3">
        <w:t xml:space="preserve"> </w:t>
      </w:r>
    </w:p>
    <w:p w14:paraId="120F1BFD" w14:textId="77777777" w:rsidR="00F15BB2" w:rsidRDefault="00F968A9" w:rsidP="004B06E3">
      <w:r>
        <w:t>Data collection requirements are to be determined.</w:t>
      </w:r>
    </w:p>
    <w:p w14:paraId="68B1852F" w14:textId="77777777" w:rsidR="00F968A9" w:rsidRPr="004B06E3" w:rsidRDefault="00F968A9" w:rsidP="004B06E3"/>
    <w:p w14:paraId="7D4F58D4" w14:textId="77777777" w:rsidR="007D230B" w:rsidRPr="004B06E3" w:rsidRDefault="007D230B" w:rsidP="000F1A47">
      <w:pPr>
        <w:pStyle w:val="eTRMHeading3"/>
      </w:pPr>
      <w:bookmarkStart w:id="34" w:name="_Toc486490855"/>
      <w:bookmarkStart w:id="35" w:name="_Toc486580926"/>
      <w:bookmarkStart w:id="36" w:name="_Toc2234180"/>
      <w:r w:rsidRPr="004B06E3">
        <w:t>Use Category</w:t>
      </w:r>
      <w:bookmarkEnd w:id="34"/>
      <w:bookmarkEnd w:id="35"/>
      <w:bookmarkEnd w:id="36"/>
    </w:p>
    <w:p w14:paraId="680FA769" w14:textId="77777777" w:rsidR="004142EF" w:rsidRDefault="00474F1C" w:rsidP="004142EF">
      <w:r>
        <w:t xml:space="preserve">Service </w:t>
      </w:r>
      <w:r w:rsidR="00F968A9">
        <w:t xml:space="preserve">&amp; domestic </w:t>
      </w:r>
      <w:r>
        <w:t xml:space="preserve">hot water </w:t>
      </w:r>
    </w:p>
    <w:p w14:paraId="3B9664A6" w14:textId="77777777" w:rsidR="004142EF" w:rsidRPr="004B06E3" w:rsidRDefault="004142EF" w:rsidP="004B06E3"/>
    <w:p w14:paraId="13A017AA" w14:textId="77777777" w:rsidR="007D230B" w:rsidRDefault="007D230B" w:rsidP="000F1A47">
      <w:pPr>
        <w:pStyle w:val="eTRMHeading3"/>
      </w:pPr>
      <w:bookmarkStart w:id="37" w:name="_Toc486490857"/>
      <w:bookmarkStart w:id="38" w:name="_Toc486580928"/>
      <w:bookmarkStart w:id="39" w:name="_Toc2234181"/>
      <w:r w:rsidRPr="004B06E3">
        <w:t>Electric Savings</w:t>
      </w:r>
      <w:r w:rsidR="00245AFF" w:rsidRPr="004B06E3">
        <w:t xml:space="preserve"> (</w:t>
      </w:r>
      <w:r w:rsidR="00E14349" w:rsidRPr="00F968A9">
        <w:rPr>
          <w:caps w:val="0"/>
        </w:rPr>
        <w:t>k</w:t>
      </w:r>
      <w:r w:rsidR="00245AFF" w:rsidRPr="00F968A9">
        <w:rPr>
          <w:caps w:val="0"/>
        </w:rPr>
        <w:t>Wh</w:t>
      </w:r>
      <w:r w:rsidR="00245AFF" w:rsidRPr="004B06E3">
        <w:t>)</w:t>
      </w:r>
      <w:bookmarkEnd w:id="37"/>
      <w:bookmarkEnd w:id="38"/>
      <w:bookmarkEnd w:id="39"/>
    </w:p>
    <w:p w14:paraId="7FB882AF" w14:textId="204FB8B9" w:rsidR="00575EF3" w:rsidRDefault="00575EF3" w:rsidP="00575EF3">
      <w:bookmarkStart w:id="40" w:name="_Toc486490856"/>
      <w:bookmarkStart w:id="41" w:name="_Toc486580927"/>
      <w:r w:rsidRPr="00CA4177">
        <w:t>The energy savings of h</w:t>
      </w:r>
      <w:r w:rsidR="00B93610">
        <w:t xml:space="preserve">eat pump water heaters </w:t>
      </w:r>
      <w:r w:rsidR="002175A6">
        <w:t>and electric storage water heaters are</w:t>
      </w:r>
      <w:r w:rsidRPr="00CA4177">
        <w:t> rated in uniform energy factor (UEF)</w:t>
      </w:r>
      <w:r w:rsidR="002175A6">
        <w:t xml:space="preserve">. </w:t>
      </w:r>
      <w:r w:rsidR="00AC0338">
        <w:t>Unit energy savings (UES)</w:t>
      </w:r>
      <w:r w:rsidR="002175A6">
        <w:t xml:space="preserve"> </w:t>
      </w:r>
      <w:r w:rsidRPr="00CA4177">
        <w:t xml:space="preserve">were modeled using </w:t>
      </w:r>
      <w:r>
        <w:t>the Database for Energy Efficient Resources (</w:t>
      </w:r>
      <w:r w:rsidRPr="00CA4177">
        <w:t>DEER</w:t>
      </w:r>
      <w:r>
        <w:t>)</w:t>
      </w:r>
      <w:r w:rsidRPr="00CA4177">
        <w:t xml:space="preserve"> methodologies. </w:t>
      </w:r>
      <w:bookmarkStart w:id="42" w:name="_Hlk502481211"/>
      <w:r w:rsidRPr="00CA4177">
        <w:t xml:space="preserve">Specifically, </w:t>
      </w:r>
      <w:r w:rsidR="005C77AB">
        <w:t xml:space="preserve">energy use and </w:t>
      </w:r>
      <w:r w:rsidRPr="00CA4177">
        <w:t>savings</w:t>
      </w:r>
      <w:r w:rsidRPr="00370595">
        <w:rPr>
          <w:rFonts w:ascii="Times New Roman" w:hAnsi="Times New Roman" w:cs="Times New Roman"/>
          <w:color w:val="000000"/>
          <w:sz w:val="24"/>
        </w:rPr>
        <w:t xml:space="preserve"> </w:t>
      </w:r>
      <w:r w:rsidRPr="00CA4177">
        <w:t>were derived using the DEER water heater calculator tool,</w:t>
      </w:r>
      <w:bookmarkStart w:id="43" w:name="_ftnref1"/>
      <w:r w:rsidR="00AA58CB" w:rsidRPr="00CA4177">
        <w:rPr>
          <w:rStyle w:val="FootnoteReference"/>
        </w:rPr>
        <w:footnoteReference w:id="7"/>
      </w:r>
      <w:bookmarkEnd w:id="43"/>
      <w:r w:rsidRPr="00CA4177">
        <w:t xml:space="preserve"> a macro-enabled Excel workbook developed by consultants of the California Public Utilities Commission (CPUC) Energy Division to standardize the inputs and savings calculations for </w:t>
      </w:r>
      <w:r>
        <w:t>water heating measures. T</w:t>
      </w:r>
      <w:r w:rsidRPr="00CA4177">
        <w:t xml:space="preserve">he </w:t>
      </w:r>
      <w:r>
        <w:t>calculator</w:t>
      </w:r>
      <w:r w:rsidRPr="00CA4177">
        <w:t xml:space="preserve"> "utilizes hourly output from the DEER2014 DOE2 building prototypes for hot water loads and ambient conditions along with new technology definitions to estimate the hourly energy use of gas, electric, and heat pump water heaters. This tool was developed </w:t>
      </w:r>
      <w:r w:rsidR="002175A6">
        <w:t xml:space="preserve">as a replacement of an earlier version (v1.1) </w:t>
      </w:r>
      <w:r w:rsidRPr="00CA4177">
        <w:t>to accommodate the modeling requirements of heat pump water heaters and to provide a relatively easy method to add new measures and technologies based on PA program requirements.”</w:t>
      </w:r>
      <w:r w:rsidRPr="00CA4177">
        <w:rPr>
          <w:rStyle w:val="FootnoteReference"/>
        </w:rPr>
        <w:footnoteReference w:id="8"/>
      </w:r>
      <w:r w:rsidRPr="00CA4177">
        <w:t xml:space="preserve"> Further, the "simulation tool … uses the technology definitions to determine the hot water energy use for each climate zone, building type and building vintage that are part of the standard DEER applicability parameters. Measure savings are determined by comparing the energy use associated with the technologies defined in the measure definition.</w:t>
      </w:r>
      <w:bookmarkStart w:id="44" w:name="_ftnref3"/>
      <w:r w:rsidRPr="00CA4177">
        <w:t>”</w:t>
      </w:r>
      <w:bookmarkEnd w:id="44"/>
      <w:r w:rsidRPr="00CA4177">
        <w:rPr>
          <w:rStyle w:val="FootnoteReference"/>
        </w:rPr>
        <w:footnoteReference w:id="9"/>
      </w:r>
      <w:r w:rsidRPr="00CA4177">
        <w:t xml:space="preserve"> </w:t>
      </w:r>
      <w:r w:rsidR="002175A6">
        <w:t xml:space="preserve"> </w:t>
      </w:r>
      <w:bookmarkStart w:id="45" w:name="_Hlk502481142"/>
    </w:p>
    <w:p w14:paraId="647A8109" w14:textId="77777777" w:rsidR="00635E08" w:rsidRPr="00500C4E" w:rsidRDefault="00635E08" w:rsidP="00635E08">
      <w:r w:rsidRPr="00500C4E">
        <w:t xml:space="preserve">The following table </w:t>
      </w:r>
      <w:r>
        <w:t>indicates the</w:t>
      </w:r>
      <w:r w:rsidRPr="00500C4E">
        <w:t xml:space="preserve"> measures</w:t>
      </w:r>
      <w:r>
        <w:t xml:space="preserve"> </w:t>
      </w:r>
      <w:r w:rsidRPr="00500C4E">
        <w:t xml:space="preserve">taken directly from or created with the DEER </w:t>
      </w:r>
      <w:r w:rsidRPr="000B13BE">
        <w:t>Remote Ex-Ante Database Interface</w:t>
      </w:r>
      <w:r>
        <w:t xml:space="preserve"> (</w:t>
      </w:r>
      <w:r w:rsidRPr="00370595">
        <w:t>READI</w:t>
      </w:r>
      <w:r>
        <w:t>)</w:t>
      </w:r>
      <w:r w:rsidRPr="00370595">
        <w:t xml:space="preserve"> </w:t>
      </w:r>
      <w:r>
        <w:t>t</w:t>
      </w:r>
      <w:r w:rsidRPr="00500C4E">
        <w:t>ool.</w:t>
      </w:r>
    </w:p>
    <w:p w14:paraId="4AB53413" w14:textId="77777777" w:rsidR="00635E08" w:rsidRPr="008C7649" w:rsidRDefault="00635E08" w:rsidP="00635E08">
      <w:pPr>
        <w:pStyle w:val="Caption"/>
      </w:pPr>
      <w:r>
        <w:lastRenderedPageBreak/>
        <w:t>DEER Measure Codes</w:t>
      </w:r>
    </w:p>
    <w:tbl>
      <w:tblPr>
        <w:tblStyle w:val="TableGrid1"/>
        <w:tblW w:w="50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5055"/>
      </w:tblGrid>
      <w:tr w:rsidR="00635E08" w:rsidRPr="00500C4E" w14:paraId="7FCD6A5F" w14:textId="77777777" w:rsidTr="00D239A1">
        <w:trPr>
          <w:cantSplit/>
          <w:trHeight w:val="20"/>
          <w:tblHeader/>
        </w:trPr>
        <w:tc>
          <w:tcPr>
            <w:tcW w:w="5055" w:type="dxa"/>
            <w:shd w:val="clear" w:color="auto" w:fill="F2F2F2" w:themeFill="background1" w:themeFillShade="F2"/>
          </w:tcPr>
          <w:p w14:paraId="249B95C5" w14:textId="77777777" w:rsidR="00635E08" w:rsidRPr="00EE45C0" w:rsidRDefault="00014A69" w:rsidP="00D239A1">
            <w:pPr>
              <w:spacing w:before="0" w:after="0" w:line="240" w:lineRule="auto"/>
              <w:rPr>
                <w:rFonts w:cs="Calibri Light"/>
                <w:b/>
                <w:sz w:val="20"/>
                <w:szCs w:val="20"/>
              </w:rPr>
            </w:pPr>
            <w:r w:rsidRPr="00EE45C0">
              <w:rPr>
                <w:rFonts w:cs="Calibri Light"/>
                <w:b/>
                <w:sz w:val="20"/>
                <w:szCs w:val="20"/>
              </w:rPr>
              <w:t>DEER IDs</w:t>
            </w:r>
          </w:p>
        </w:tc>
      </w:tr>
      <w:tr w:rsidR="00014A69" w:rsidRPr="00500C4E" w14:paraId="16B58AAE" w14:textId="77777777" w:rsidTr="00D239A1">
        <w:trPr>
          <w:cantSplit/>
          <w:trHeight w:val="20"/>
        </w:trPr>
        <w:tc>
          <w:tcPr>
            <w:tcW w:w="5055" w:type="dxa"/>
          </w:tcPr>
          <w:p w14:paraId="0676CD7B" w14:textId="77777777" w:rsidR="00014A69" w:rsidRPr="00EE45C0" w:rsidRDefault="00014A69" w:rsidP="00014A69">
            <w:pPr>
              <w:spacing w:before="0" w:after="0" w:line="240" w:lineRule="auto"/>
              <w:rPr>
                <w:rFonts w:cs="Calibri Light"/>
                <w:sz w:val="20"/>
                <w:szCs w:val="20"/>
              </w:rPr>
            </w:pPr>
            <w:r w:rsidRPr="00EE45C0">
              <w:rPr>
                <w:rFonts w:cs="Calibri Light"/>
                <w:color w:val="000000"/>
                <w:sz w:val="20"/>
                <w:szCs w:val="20"/>
              </w:rPr>
              <w:t>RE-WtrHt-SmlStrg-HP-lte12kW-rep30G-3p24EF</w:t>
            </w:r>
          </w:p>
        </w:tc>
      </w:tr>
      <w:tr w:rsidR="00014A69" w:rsidRPr="00500C4E" w14:paraId="0A0CA51F" w14:textId="77777777" w:rsidTr="00D239A1">
        <w:trPr>
          <w:cantSplit/>
          <w:trHeight w:val="20"/>
        </w:trPr>
        <w:tc>
          <w:tcPr>
            <w:tcW w:w="5055" w:type="dxa"/>
          </w:tcPr>
          <w:p w14:paraId="4D95E204" w14:textId="77777777" w:rsidR="00014A69" w:rsidRPr="00EE45C0" w:rsidRDefault="00014A69" w:rsidP="00014A69">
            <w:pPr>
              <w:spacing w:before="0" w:after="0" w:line="240" w:lineRule="auto"/>
              <w:rPr>
                <w:rFonts w:cs="Calibri Light"/>
                <w:sz w:val="20"/>
                <w:szCs w:val="20"/>
              </w:rPr>
            </w:pPr>
            <w:r w:rsidRPr="00EE45C0">
              <w:rPr>
                <w:rFonts w:cs="Calibri Light"/>
                <w:color w:val="000000"/>
                <w:sz w:val="20"/>
                <w:szCs w:val="20"/>
              </w:rPr>
              <w:t>RE-WtrHt-SmlStrg-HP-lte12kW-rep30G-3p50EF</w:t>
            </w:r>
          </w:p>
        </w:tc>
      </w:tr>
      <w:tr w:rsidR="00014A69" w:rsidRPr="00500C4E" w14:paraId="5B6C64FD" w14:textId="77777777" w:rsidTr="00D239A1">
        <w:trPr>
          <w:cantSplit/>
          <w:trHeight w:val="20"/>
        </w:trPr>
        <w:tc>
          <w:tcPr>
            <w:tcW w:w="5055" w:type="dxa"/>
          </w:tcPr>
          <w:p w14:paraId="22275ECB" w14:textId="77777777" w:rsidR="00014A69" w:rsidRPr="00EE45C0" w:rsidRDefault="00014A69" w:rsidP="00014A69">
            <w:pPr>
              <w:spacing w:before="0" w:after="0" w:line="240" w:lineRule="auto"/>
              <w:rPr>
                <w:rFonts w:cs="Calibri Light"/>
                <w:sz w:val="20"/>
                <w:szCs w:val="20"/>
              </w:rPr>
            </w:pPr>
            <w:r w:rsidRPr="00EE45C0">
              <w:rPr>
                <w:rFonts w:cs="Calibri Light"/>
                <w:color w:val="000000"/>
                <w:sz w:val="20"/>
                <w:szCs w:val="20"/>
              </w:rPr>
              <w:t>RE-WtrHt-SmlStrg-HP-lte12kW-rep40G-3p24EF</w:t>
            </w:r>
          </w:p>
        </w:tc>
      </w:tr>
      <w:tr w:rsidR="00014A69" w:rsidRPr="00500C4E" w14:paraId="74185D44" w14:textId="77777777" w:rsidTr="00A05819">
        <w:tblPrEx>
          <w:tblLook w:val="04A0" w:firstRow="1" w:lastRow="0" w:firstColumn="1" w:lastColumn="0" w:noHBand="0" w:noVBand="1"/>
        </w:tblPrEx>
        <w:trPr>
          <w:trHeight w:val="20"/>
        </w:trPr>
        <w:tc>
          <w:tcPr>
            <w:tcW w:w="5055" w:type="dxa"/>
          </w:tcPr>
          <w:p w14:paraId="686B368B" w14:textId="77777777" w:rsidR="00014A69" w:rsidRPr="00EE45C0" w:rsidRDefault="00014A69" w:rsidP="00014A69">
            <w:pPr>
              <w:spacing w:before="0" w:after="0" w:line="240" w:lineRule="auto"/>
              <w:rPr>
                <w:rFonts w:eastAsia="Calibri Light" w:cs="Calibri Light"/>
                <w:sz w:val="20"/>
                <w:szCs w:val="20"/>
              </w:rPr>
            </w:pPr>
            <w:r w:rsidRPr="00EE45C0">
              <w:rPr>
                <w:rFonts w:cs="Calibri Light"/>
                <w:color w:val="000000"/>
                <w:sz w:val="20"/>
                <w:szCs w:val="20"/>
              </w:rPr>
              <w:t>RE-WtrHt-SmlStrg-HP-lte12kW-rep40G-3p50EF</w:t>
            </w:r>
          </w:p>
        </w:tc>
      </w:tr>
      <w:tr w:rsidR="00014A69" w:rsidRPr="00500C4E" w14:paraId="699775AF" w14:textId="77777777" w:rsidTr="00A05819">
        <w:tblPrEx>
          <w:tblLook w:val="04A0" w:firstRow="1" w:lastRow="0" w:firstColumn="1" w:lastColumn="0" w:noHBand="0" w:noVBand="1"/>
        </w:tblPrEx>
        <w:trPr>
          <w:trHeight w:val="20"/>
        </w:trPr>
        <w:tc>
          <w:tcPr>
            <w:tcW w:w="5055" w:type="dxa"/>
          </w:tcPr>
          <w:p w14:paraId="65BEF3AF" w14:textId="77777777" w:rsidR="00014A69" w:rsidRPr="00EE45C0" w:rsidRDefault="00014A69" w:rsidP="00014A69">
            <w:pPr>
              <w:spacing w:before="0" w:after="0" w:line="240" w:lineRule="auto"/>
              <w:rPr>
                <w:rFonts w:cs="Calibri Light"/>
                <w:sz w:val="20"/>
                <w:szCs w:val="20"/>
              </w:rPr>
            </w:pPr>
            <w:r w:rsidRPr="00EE45C0">
              <w:rPr>
                <w:rFonts w:cs="Calibri Light"/>
                <w:color w:val="000000"/>
                <w:sz w:val="20"/>
                <w:szCs w:val="20"/>
              </w:rPr>
              <w:t>RE-WtrHt-SmlStrg-HP-lte12kW-rep50G-3p24EF</w:t>
            </w:r>
          </w:p>
        </w:tc>
      </w:tr>
      <w:tr w:rsidR="00014A69" w:rsidRPr="00500C4E" w14:paraId="4E9F5C4D" w14:textId="77777777" w:rsidTr="00A05819">
        <w:tblPrEx>
          <w:tblLook w:val="04A0" w:firstRow="1" w:lastRow="0" w:firstColumn="1" w:lastColumn="0" w:noHBand="0" w:noVBand="1"/>
        </w:tblPrEx>
        <w:trPr>
          <w:trHeight w:val="20"/>
        </w:trPr>
        <w:tc>
          <w:tcPr>
            <w:tcW w:w="5055" w:type="dxa"/>
          </w:tcPr>
          <w:p w14:paraId="728AB71A" w14:textId="77777777" w:rsidR="00014A69" w:rsidRPr="00EE45C0" w:rsidRDefault="00014A69" w:rsidP="00014A69">
            <w:pPr>
              <w:spacing w:before="0" w:after="0" w:line="240" w:lineRule="auto"/>
              <w:rPr>
                <w:rFonts w:cs="Calibri Light"/>
                <w:sz w:val="20"/>
                <w:szCs w:val="20"/>
              </w:rPr>
            </w:pPr>
            <w:r w:rsidRPr="00EE45C0">
              <w:rPr>
                <w:rFonts w:cs="Calibri Light"/>
                <w:color w:val="000000"/>
                <w:sz w:val="20"/>
                <w:szCs w:val="20"/>
              </w:rPr>
              <w:t>RE-WtrHt-SmlStrg-HP-lte12kW-rep50G-3p50EF</w:t>
            </w:r>
          </w:p>
        </w:tc>
      </w:tr>
      <w:tr w:rsidR="00014A69" w:rsidRPr="00500C4E" w14:paraId="193ADF6D" w14:textId="77777777" w:rsidTr="00A05819">
        <w:tblPrEx>
          <w:tblLook w:val="04A0" w:firstRow="1" w:lastRow="0" w:firstColumn="1" w:lastColumn="0" w:noHBand="0" w:noVBand="1"/>
        </w:tblPrEx>
        <w:trPr>
          <w:trHeight w:val="20"/>
        </w:trPr>
        <w:tc>
          <w:tcPr>
            <w:tcW w:w="5055" w:type="dxa"/>
          </w:tcPr>
          <w:p w14:paraId="52A4D98D" w14:textId="77777777" w:rsidR="00014A69" w:rsidRPr="00EE45C0" w:rsidRDefault="00014A69" w:rsidP="00014A69">
            <w:pPr>
              <w:spacing w:before="0" w:after="0" w:line="240" w:lineRule="auto"/>
              <w:rPr>
                <w:rFonts w:cs="Calibri Light"/>
                <w:sz w:val="20"/>
                <w:szCs w:val="20"/>
              </w:rPr>
            </w:pPr>
            <w:r w:rsidRPr="00EE45C0">
              <w:rPr>
                <w:rFonts w:cs="Calibri Light"/>
                <w:color w:val="000000"/>
                <w:sz w:val="20"/>
                <w:szCs w:val="20"/>
              </w:rPr>
              <w:t>RE-WtrHt-SmlStrg-HP-lte12kW-rep60G-3p50EF</w:t>
            </w:r>
          </w:p>
        </w:tc>
      </w:tr>
      <w:tr w:rsidR="00014A69" w:rsidRPr="00500C4E" w14:paraId="6AF08505" w14:textId="77777777" w:rsidTr="00A05819">
        <w:tblPrEx>
          <w:tblLook w:val="04A0" w:firstRow="1" w:lastRow="0" w:firstColumn="1" w:lastColumn="0" w:noHBand="0" w:noVBand="1"/>
        </w:tblPrEx>
        <w:trPr>
          <w:trHeight w:val="20"/>
        </w:trPr>
        <w:tc>
          <w:tcPr>
            <w:tcW w:w="5055" w:type="dxa"/>
          </w:tcPr>
          <w:p w14:paraId="029A0CFA" w14:textId="77777777" w:rsidR="00014A69" w:rsidRPr="00EE45C0" w:rsidRDefault="00014A69" w:rsidP="00014A69">
            <w:pPr>
              <w:spacing w:before="0" w:after="0" w:line="240" w:lineRule="auto"/>
              <w:rPr>
                <w:rFonts w:cs="Calibri Light"/>
                <w:sz w:val="20"/>
                <w:szCs w:val="20"/>
              </w:rPr>
            </w:pPr>
            <w:r w:rsidRPr="00EE45C0">
              <w:rPr>
                <w:rFonts w:cs="Calibri Light"/>
                <w:color w:val="000000"/>
                <w:sz w:val="20"/>
                <w:szCs w:val="20"/>
              </w:rPr>
              <w:t>RE-WtrHt-SmlStrg-HP-lte12kW-rep75G-3p50EF</w:t>
            </w:r>
          </w:p>
        </w:tc>
      </w:tr>
    </w:tbl>
    <w:p w14:paraId="282C057C" w14:textId="77777777" w:rsidR="00635E08" w:rsidRDefault="00635E08" w:rsidP="00575EF3"/>
    <w:p w14:paraId="3BDB2968" w14:textId="77777777" w:rsidR="002175A6" w:rsidRPr="00CA4177" w:rsidRDefault="00635E08" w:rsidP="002175A6">
      <w:bookmarkStart w:id="46" w:name="_Hlk502481528"/>
      <w:bookmarkEnd w:id="45"/>
      <w:r>
        <w:t>The r</w:t>
      </w:r>
      <w:r w:rsidR="00575EF3" w:rsidRPr="00370595">
        <w:t>esults reported in READI</w:t>
      </w:r>
      <w:r w:rsidR="00130F27" w:rsidRPr="00605FC6">
        <w:rPr>
          <w:rFonts w:cstheme="minorHAnsi"/>
          <w:szCs w:val="22"/>
        </w:rPr>
        <w:t xml:space="preserve"> have not been modified </w:t>
      </w:r>
      <w:r w:rsidR="00130F27">
        <w:rPr>
          <w:rFonts w:cstheme="minorHAnsi"/>
          <w:szCs w:val="22"/>
        </w:rPr>
        <w:t>and include all 16 California climate zones</w:t>
      </w:r>
      <w:bookmarkEnd w:id="46"/>
      <w:r w:rsidR="00130F27">
        <w:rPr>
          <w:rFonts w:cstheme="minorHAnsi"/>
          <w:szCs w:val="22"/>
        </w:rPr>
        <w:t>.</w:t>
      </w:r>
      <w:r w:rsidR="002175A6" w:rsidRPr="002175A6">
        <w:t xml:space="preserve"> </w:t>
      </w:r>
      <w:r w:rsidR="002175A6">
        <w:t xml:space="preserve">This tool compares the </w:t>
      </w:r>
      <w:r w:rsidR="00864E31">
        <w:t xml:space="preserve">energy use of the </w:t>
      </w:r>
      <w:r w:rsidR="002175A6">
        <w:t xml:space="preserve">measure and </w:t>
      </w:r>
      <w:r w:rsidR="00864E31">
        <w:t>base case</w:t>
      </w:r>
      <w:r w:rsidR="002175A6">
        <w:t xml:space="preserve"> technologies to determine </w:t>
      </w:r>
      <w:r w:rsidR="00864E31">
        <w:t xml:space="preserve">energy </w:t>
      </w:r>
      <w:r w:rsidR="002175A6">
        <w:t xml:space="preserve">savings. </w:t>
      </w:r>
    </w:p>
    <w:bookmarkEnd w:id="42"/>
    <w:p w14:paraId="61D05FEF" w14:textId="77777777" w:rsidR="00BE6EA6" w:rsidRPr="00A7691F" w:rsidRDefault="00BE6EA6" w:rsidP="00BE6EA6">
      <w:pPr>
        <w:rPr>
          <w:rFonts w:cstheme="minorHAnsi"/>
          <w:szCs w:val="22"/>
        </w:rPr>
      </w:pPr>
    </w:p>
    <w:p w14:paraId="11FD35E9" w14:textId="77777777" w:rsidR="00BE0CA4" w:rsidRPr="004B06E3" w:rsidRDefault="00BE0CA4" w:rsidP="000F1A47">
      <w:pPr>
        <w:pStyle w:val="eTRMHeading3"/>
      </w:pPr>
      <w:bookmarkStart w:id="47" w:name="_Toc2234182"/>
      <w:r w:rsidRPr="004B06E3">
        <w:t>Peak Electric Demand Reduction (</w:t>
      </w:r>
      <w:r w:rsidRPr="00F968A9">
        <w:rPr>
          <w:caps w:val="0"/>
        </w:rPr>
        <w:t>kW</w:t>
      </w:r>
      <w:r w:rsidRPr="004B06E3">
        <w:t>)</w:t>
      </w:r>
      <w:bookmarkEnd w:id="40"/>
      <w:bookmarkEnd w:id="41"/>
      <w:bookmarkEnd w:id="47"/>
    </w:p>
    <w:p w14:paraId="3A09D634" w14:textId="77777777" w:rsidR="00822FF2" w:rsidRDefault="007B193E" w:rsidP="004B06E3">
      <w:r>
        <w:t>Peak demand reduction was</w:t>
      </w:r>
      <w:r w:rsidR="002175A6" w:rsidRPr="00CA4177">
        <w:t xml:space="preserve"> derived using the </w:t>
      </w:r>
      <w:r w:rsidR="00F968A9">
        <w:t>Database of Energy Efficient Resources (</w:t>
      </w:r>
      <w:r w:rsidR="002175A6" w:rsidRPr="00CA4177">
        <w:t>DEER</w:t>
      </w:r>
      <w:r w:rsidR="00F968A9">
        <w:t>)</w:t>
      </w:r>
      <w:r w:rsidR="002175A6" w:rsidRPr="00CA4177">
        <w:t xml:space="preserve"> water heater calculator</w:t>
      </w:r>
      <w:r w:rsidR="002175A6">
        <w:t xml:space="preserve"> tool (</w:t>
      </w:r>
      <w:r w:rsidR="001B50F5">
        <w:t>v3</w:t>
      </w:r>
      <w:r w:rsidR="002175A6">
        <w:t>.</w:t>
      </w:r>
      <w:r w:rsidR="001B50F5">
        <w:t>2</w:t>
      </w:r>
      <w:r w:rsidR="002175A6">
        <w:t>)</w:t>
      </w:r>
      <w:r w:rsidR="005C77AB">
        <w:t>.</w:t>
      </w:r>
      <w:r>
        <w:rPr>
          <w:rStyle w:val="FootnoteReference"/>
        </w:rPr>
        <w:footnoteReference w:id="10"/>
      </w:r>
      <w:r w:rsidR="005C77AB">
        <w:t xml:space="preserve"> The simulation tool reports hourly savings and report</w:t>
      </w:r>
      <w:r w:rsidR="00474F1C">
        <w:t>s</w:t>
      </w:r>
      <w:r w:rsidR="005C77AB">
        <w:t xml:space="preserve"> results for each climate zone</w:t>
      </w:r>
      <w:r>
        <w:t xml:space="preserve">, enabling accurate capture </w:t>
      </w:r>
      <w:r w:rsidR="005C77AB">
        <w:t xml:space="preserve">of peak demand savings. </w:t>
      </w:r>
      <w:r w:rsidR="005C77AB" w:rsidRPr="00370595">
        <w:t xml:space="preserve">Results </w:t>
      </w:r>
      <w:r w:rsidR="005C77AB">
        <w:t>are</w:t>
      </w:r>
      <w:r w:rsidR="005C77AB" w:rsidRPr="00370595">
        <w:t xml:space="preserve"> reported in the </w:t>
      </w:r>
      <w:r w:rsidR="005C77AB" w:rsidRPr="000B13BE">
        <w:t>Remote Ex-Ante Database Interface</w:t>
      </w:r>
      <w:r w:rsidR="005C77AB">
        <w:t xml:space="preserve"> (</w:t>
      </w:r>
      <w:r w:rsidR="005C77AB" w:rsidRPr="00370595">
        <w:t>READI</w:t>
      </w:r>
      <w:r w:rsidR="005C77AB">
        <w:t xml:space="preserve">) tool. </w:t>
      </w:r>
      <w:r w:rsidR="00A05819">
        <w:t xml:space="preserve">See Electric Savings for a list of DEER measure codes. </w:t>
      </w:r>
    </w:p>
    <w:p w14:paraId="266B6953" w14:textId="52CA3281" w:rsidR="00AA58CB" w:rsidRDefault="00AA58CB" w:rsidP="00AA58CB">
      <w:r>
        <w:t>The demand reduction values in DEER are based upon the</w:t>
      </w:r>
      <w:r w:rsidR="0049175F">
        <w:t xml:space="preserve"> previous peak period of</w:t>
      </w:r>
      <w:r>
        <w:t xml:space="preserve"> 2 p.m. to 5 p.m. and therefore </w:t>
      </w:r>
      <w:r w:rsidR="0049175F">
        <w:t xml:space="preserve">required modification </w:t>
      </w:r>
      <w:r>
        <w:t xml:space="preserve">to </w:t>
      </w:r>
      <w:r w:rsidR="0049175F">
        <w:t xml:space="preserve">derive </w:t>
      </w:r>
      <w:r>
        <w:t>peak demand reduction for the 4 p.m. to 9 p.m. peak period.</w:t>
      </w:r>
      <w:r w:rsidR="0049175F">
        <w:rPr>
          <w:rStyle w:val="FootnoteReference"/>
        </w:rPr>
        <w:footnoteReference w:id="11"/>
      </w:r>
      <w:r>
        <w:t xml:space="preserve"> Specifically, the normalized hourly load profile for a low-flow shower head was used to determine the scaling factor that was applied to the DEER peak savings. The scaling factor was calculated as the average load for 4 p.m. to 9 p.m. divided by the average load for 2 p.m. to 5 p.m. The resultant scaling factor (below) was calculated to be 2.564 and was applied to the peak demand impacts for all 16 climate zones.</w:t>
      </w:r>
      <w:r w:rsidR="0049175F">
        <w:rPr>
          <w:rStyle w:val="FootnoteReference"/>
        </w:rPr>
        <w:footnoteReference w:id="12"/>
      </w:r>
    </w:p>
    <w:p w14:paraId="01B4663B" w14:textId="77777777" w:rsidR="00AA58CB" w:rsidRPr="005459C8" w:rsidRDefault="00310436" w:rsidP="00AA58CB">
      <w:pPr>
        <w:ind w:left="720"/>
      </w:pPr>
      <m:oMathPara>
        <m:oMathParaPr>
          <m:jc m:val="left"/>
        </m:oMathParaPr>
        <m:oMath>
          <m:sSub>
            <m:sSubPr>
              <m:ctrlPr>
                <w:rPr>
                  <w:rFonts w:ascii="Cambria Math" w:hAnsi="Cambria Math"/>
                  <w:i/>
                  <w:sz w:val="18"/>
                </w:rPr>
              </m:ctrlPr>
            </m:sSubPr>
            <m:e>
              <m:r>
                <w:rPr>
                  <w:rFonts w:ascii="Cambria Math" w:hAnsi="Cambria Math"/>
                  <w:sz w:val="18"/>
                </w:rPr>
                <m:t>DEERkW</m:t>
              </m:r>
            </m:e>
            <m:sub>
              <m:r>
                <w:rPr>
                  <w:rFonts w:ascii="Cambria Math" w:hAnsi="Cambria Math"/>
                  <w:sz w:val="18"/>
                </w:rPr>
                <m:t>4to9</m:t>
              </m:r>
            </m:sub>
          </m:sSub>
          <m:r>
            <w:rPr>
              <w:rFonts w:ascii="Cambria Math" w:hAnsi="Cambria Math"/>
              <w:sz w:val="18"/>
            </w:rPr>
            <m:t>=</m:t>
          </m:r>
          <m:sSub>
            <m:sSubPr>
              <m:ctrlPr>
                <w:rPr>
                  <w:rFonts w:ascii="Cambria Math" w:hAnsi="Cambria Math"/>
                  <w:i/>
                  <w:sz w:val="18"/>
                </w:rPr>
              </m:ctrlPr>
            </m:sSubPr>
            <m:e>
              <m:r>
                <w:rPr>
                  <w:rFonts w:ascii="Cambria Math" w:hAnsi="Cambria Math"/>
                  <w:sz w:val="18"/>
                </w:rPr>
                <m:t>DEERkW</m:t>
              </m:r>
            </m:e>
            <m:sub>
              <m:r>
                <w:rPr>
                  <w:rFonts w:ascii="Cambria Math" w:hAnsi="Cambria Math"/>
                  <w:sz w:val="18"/>
                </w:rPr>
                <m:t>2to5</m:t>
              </m:r>
            </m:sub>
          </m:sSub>
          <m:r>
            <w:rPr>
              <w:rFonts w:ascii="Cambria Math" w:hAnsi="Cambria Math"/>
              <w:sz w:val="18"/>
            </w:rPr>
            <m:t>×SF</m:t>
          </m:r>
        </m:oMath>
      </m:oMathPara>
    </w:p>
    <w:p w14:paraId="00C28715" w14:textId="7F775C96" w:rsidR="00AA58CB" w:rsidRPr="005459C8" w:rsidRDefault="00AA58CB" w:rsidP="002B1D63">
      <w:pPr>
        <w:spacing w:before="20" w:after="20"/>
        <w:ind w:left="3060" w:hanging="1620"/>
        <w:rPr>
          <w:rFonts w:ascii="Cambria Math" w:hAnsi="Cambria Math"/>
          <w:i/>
          <w:sz w:val="18"/>
        </w:rPr>
      </w:pPr>
      <w:r w:rsidRPr="005459C8">
        <w:rPr>
          <w:rFonts w:ascii="Cambria Math" w:hAnsi="Cambria Math"/>
          <w:i/>
          <w:sz w:val="18"/>
        </w:rPr>
        <w:t>DEERkW4to9 =</w:t>
      </w:r>
      <w:r w:rsidR="0021006A">
        <w:rPr>
          <w:rFonts w:ascii="Cambria Math" w:hAnsi="Cambria Math"/>
          <w:i/>
          <w:sz w:val="18"/>
        </w:rPr>
        <w:tab/>
      </w:r>
      <w:r w:rsidRPr="005459C8">
        <w:rPr>
          <w:rFonts w:ascii="Cambria Math" w:hAnsi="Cambria Math"/>
          <w:i/>
          <w:sz w:val="18"/>
        </w:rPr>
        <w:t xml:space="preserve"> Peak demand reduction in the 4 p.m. to 9 p.m. peak period</w:t>
      </w:r>
    </w:p>
    <w:p w14:paraId="41C4D319" w14:textId="2127F3F6" w:rsidR="00AA58CB" w:rsidRPr="005459C8" w:rsidRDefault="00AA58CB" w:rsidP="002B1D63">
      <w:pPr>
        <w:spacing w:before="20" w:after="20"/>
        <w:ind w:left="3060" w:hanging="1620"/>
        <w:rPr>
          <w:rFonts w:ascii="Cambria Math" w:hAnsi="Cambria Math"/>
          <w:i/>
          <w:sz w:val="18"/>
        </w:rPr>
      </w:pPr>
      <w:r w:rsidRPr="005459C8">
        <w:rPr>
          <w:rFonts w:ascii="Cambria Math" w:hAnsi="Cambria Math"/>
          <w:i/>
          <w:sz w:val="18"/>
        </w:rPr>
        <w:t xml:space="preserve">DEERkW2to5 = </w:t>
      </w:r>
      <w:r w:rsidR="0021006A">
        <w:rPr>
          <w:rFonts w:ascii="Cambria Math" w:hAnsi="Cambria Math"/>
          <w:i/>
          <w:sz w:val="18"/>
        </w:rPr>
        <w:tab/>
      </w:r>
      <w:r w:rsidRPr="005459C8">
        <w:rPr>
          <w:rFonts w:ascii="Cambria Math" w:hAnsi="Cambria Math"/>
          <w:i/>
          <w:sz w:val="18"/>
        </w:rPr>
        <w:t>Demand reduction values in DEER that are based upon the 2 p.m. to 5 p.m. peak period</w:t>
      </w:r>
    </w:p>
    <w:p w14:paraId="36E345D6" w14:textId="038B0A7A" w:rsidR="00AA58CB" w:rsidRPr="005459C8" w:rsidRDefault="00AA58CB" w:rsidP="002B1D63">
      <w:pPr>
        <w:spacing w:before="20" w:after="20"/>
        <w:ind w:left="3060" w:hanging="1620"/>
        <w:rPr>
          <w:rFonts w:ascii="Cambria Math" w:hAnsi="Cambria Math"/>
          <w:i/>
          <w:sz w:val="18"/>
        </w:rPr>
      </w:pPr>
      <w:r w:rsidRPr="005459C8">
        <w:rPr>
          <w:rFonts w:ascii="Cambria Math" w:hAnsi="Cambria Math"/>
          <w:i/>
          <w:sz w:val="18"/>
        </w:rPr>
        <w:t xml:space="preserve">SF = </w:t>
      </w:r>
      <w:r w:rsidR="0021006A">
        <w:rPr>
          <w:rFonts w:ascii="Cambria Math" w:hAnsi="Cambria Math"/>
          <w:i/>
          <w:sz w:val="18"/>
        </w:rPr>
        <w:tab/>
      </w:r>
      <w:r w:rsidRPr="005459C8">
        <w:rPr>
          <w:rFonts w:ascii="Cambria Math" w:hAnsi="Cambria Math"/>
          <w:i/>
          <w:sz w:val="18"/>
        </w:rPr>
        <w:t>Scaling factor</w:t>
      </w:r>
    </w:p>
    <w:p w14:paraId="47FAEEB8" w14:textId="77777777" w:rsidR="005459C8" w:rsidRDefault="005459C8" w:rsidP="005459C8">
      <w:pPr>
        <w:pStyle w:val="Caption"/>
      </w:pPr>
      <w:r>
        <w:lastRenderedPageBreak/>
        <w:t>Peak Demand Scaling Factor</w:t>
      </w:r>
    </w:p>
    <w:tbl>
      <w:tblPr>
        <w:tblW w:w="476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605"/>
        <w:gridCol w:w="2160"/>
      </w:tblGrid>
      <w:tr w:rsidR="005459C8" w14:paraId="1C119D01" w14:textId="77777777" w:rsidTr="005459C8">
        <w:trPr>
          <w:trHeight w:val="20"/>
        </w:trPr>
        <w:tc>
          <w:tcPr>
            <w:tcW w:w="2605" w:type="dxa"/>
            <w:shd w:val="clear" w:color="auto" w:fill="F2F2F2" w:themeFill="background1" w:themeFillShade="F2"/>
          </w:tcPr>
          <w:p w14:paraId="00A4E9BB" w14:textId="77777777" w:rsidR="005459C8" w:rsidRDefault="005459C8" w:rsidP="00C57984">
            <w:pPr>
              <w:keepNext/>
              <w:keepLines/>
              <w:spacing w:before="0" w:after="0"/>
              <w:jc w:val="center"/>
              <w:rPr>
                <w:b/>
                <w:sz w:val="20"/>
                <w:szCs w:val="20"/>
              </w:rPr>
            </w:pPr>
            <w:r>
              <w:rPr>
                <w:b/>
                <w:sz w:val="20"/>
                <w:szCs w:val="20"/>
              </w:rPr>
              <w:t>Parameter</w:t>
            </w:r>
          </w:p>
        </w:tc>
        <w:tc>
          <w:tcPr>
            <w:tcW w:w="2160" w:type="dxa"/>
            <w:shd w:val="clear" w:color="auto" w:fill="F2F2F2" w:themeFill="background1" w:themeFillShade="F2"/>
          </w:tcPr>
          <w:p w14:paraId="51A75917" w14:textId="77777777" w:rsidR="005459C8" w:rsidRDefault="005459C8" w:rsidP="00C57984">
            <w:pPr>
              <w:keepNext/>
              <w:keepLines/>
              <w:spacing w:before="0" w:after="0"/>
              <w:jc w:val="center"/>
              <w:rPr>
                <w:b/>
                <w:sz w:val="20"/>
                <w:szCs w:val="20"/>
              </w:rPr>
            </w:pPr>
            <w:r>
              <w:rPr>
                <w:b/>
                <w:sz w:val="20"/>
                <w:szCs w:val="20"/>
              </w:rPr>
              <w:t>Value</w:t>
            </w:r>
          </w:p>
        </w:tc>
      </w:tr>
      <w:tr w:rsidR="005459C8" w14:paraId="0C0E2F7F" w14:textId="77777777" w:rsidTr="005459C8">
        <w:trPr>
          <w:trHeight w:val="287"/>
        </w:trPr>
        <w:tc>
          <w:tcPr>
            <w:tcW w:w="2605" w:type="dxa"/>
            <w:vAlign w:val="center"/>
          </w:tcPr>
          <w:p w14:paraId="6AC0DF8A" w14:textId="77777777" w:rsidR="005459C8" w:rsidRPr="00B20DA3" w:rsidRDefault="005459C8" w:rsidP="005459C8">
            <w:pPr>
              <w:keepNext/>
              <w:keepLines/>
              <w:spacing w:before="0" w:after="0"/>
              <w:rPr>
                <w:sz w:val="20"/>
                <w:szCs w:val="20"/>
              </w:rPr>
            </w:pPr>
            <w:r>
              <w:rPr>
                <w:sz w:val="20"/>
                <w:szCs w:val="20"/>
              </w:rPr>
              <w:t>Peak demand scaling factor</w:t>
            </w:r>
          </w:p>
        </w:tc>
        <w:tc>
          <w:tcPr>
            <w:tcW w:w="2160" w:type="dxa"/>
            <w:vAlign w:val="center"/>
          </w:tcPr>
          <w:p w14:paraId="044CA979" w14:textId="77777777" w:rsidR="005459C8" w:rsidRDefault="005459C8" w:rsidP="00C57984">
            <w:pPr>
              <w:keepNext/>
              <w:keepLines/>
              <w:spacing w:before="0" w:after="0"/>
              <w:jc w:val="center"/>
              <w:rPr>
                <w:sz w:val="20"/>
                <w:szCs w:val="20"/>
              </w:rPr>
            </w:pPr>
            <w:r>
              <w:rPr>
                <w:sz w:val="20"/>
                <w:szCs w:val="20"/>
              </w:rPr>
              <w:t>2.564</w:t>
            </w:r>
          </w:p>
        </w:tc>
      </w:tr>
    </w:tbl>
    <w:p w14:paraId="1740D8E1" w14:textId="77777777" w:rsidR="005459C8" w:rsidRPr="004B06E3" w:rsidRDefault="005459C8" w:rsidP="004B06E3"/>
    <w:p w14:paraId="2DCCFCFE" w14:textId="77777777" w:rsidR="007D230B" w:rsidRDefault="007D230B" w:rsidP="000F1A47">
      <w:pPr>
        <w:pStyle w:val="eTRMHeading3"/>
      </w:pPr>
      <w:bookmarkStart w:id="48" w:name="_Toc486490858"/>
      <w:bookmarkStart w:id="49" w:name="_Toc486580929"/>
      <w:bookmarkStart w:id="50" w:name="_Toc2234183"/>
      <w:r w:rsidRPr="004B06E3">
        <w:t>Gas Savings</w:t>
      </w:r>
      <w:r w:rsidR="00245AFF" w:rsidRPr="004B06E3">
        <w:t xml:space="preserve"> (</w:t>
      </w:r>
      <w:proofErr w:type="spellStart"/>
      <w:r w:rsidR="00245AFF" w:rsidRPr="00F968A9">
        <w:rPr>
          <w:caps w:val="0"/>
        </w:rPr>
        <w:t>Therms</w:t>
      </w:r>
      <w:proofErr w:type="spellEnd"/>
      <w:r w:rsidR="00245AFF" w:rsidRPr="004B06E3">
        <w:t>)</w:t>
      </w:r>
      <w:bookmarkEnd w:id="48"/>
      <w:bookmarkEnd w:id="49"/>
      <w:bookmarkEnd w:id="50"/>
    </w:p>
    <w:p w14:paraId="2C125A2A" w14:textId="77777777" w:rsidR="00462F42" w:rsidRPr="004142EF" w:rsidRDefault="00462F42" w:rsidP="00462F42">
      <w:r>
        <w:t>Not applicable.</w:t>
      </w:r>
    </w:p>
    <w:p w14:paraId="5719D872" w14:textId="77777777" w:rsidR="00487E1A" w:rsidRDefault="00487E1A" w:rsidP="00A8679D">
      <w:pPr>
        <w:rPr>
          <w:rFonts w:ascii="Arial" w:hAnsi="Arial" w:cs="Arial"/>
          <w:szCs w:val="22"/>
        </w:rPr>
      </w:pPr>
    </w:p>
    <w:p w14:paraId="1591696E" w14:textId="77777777" w:rsidR="007D230B" w:rsidRPr="004B06E3" w:rsidRDefault="00245AFF" w:rsidP="000F1A47">
      <w:pPr>
        <w:pStyle w:val="eTRMHeading3"/>
      </w:pPr>
      <w:bookmarkStart w:id="51" w:name="_Toc2234184"/>
      <w:bookmarkStart w:id="52" w:name="_Toc486490859"/>
      <w:bookmarkStart w:id="53" w:name="_Toc486580930"/>
      <w:r w:rsidRPr="004B06E3">
        <w:t>Life Cycle</w:t>
      </w:r>
      <w:bookmarkEnd w:id="51"/>
      <w:r w:rsidR="007D230B" w:rsidRPr="004B06E3">
        <w:t xml:space="preserve"> </w:t>
      </w:r>
      <w:bookmarkEnd w:id="52"/>
      <w:bookmarkEnd w:id="53"/>
    </w:p>
    <w:p w14:paraId="0686568A" w14:textId="77777777" w:rsidR="00590848" w:rsidRDefault="00590848" w:rsidP="00590848">
      <w:r w:rsidRPr="000F211A">
        <w:t xml:space="preserve">Effective Useful Life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w:t>
      </w:r>
      <w:r>
        <w:t xml:space="preserve">EUL is often, but not always, derived from measure persistence or retention studies. </w:t>
      </w:r>
      <w:r w:rsidRPr="000F211A">
        <w:t xml:space="preserve">Remaining Useful Life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w:t>
      </w:r>
      <w:proofErr w:type="gramStart"/>
      <w:r w:rsidRPr="000F211A">
        <w:t>not cause</w:t>
      </w:r>
      <w:r>
        <w:t>d</w:t>
      </w:r>
      <w:proofErr w:type="gramEnd"/>
      <w:r w:rsidRPr="000F211A">
        <w:t xml:space="preserve"> the replacement or alteration. </w:t>
      </w:r>
    </w:p>
    <w:p w14:paraId="6AB29ABC" w14:textId="77777777" w:rsidR="00590848" w:rsidRDefault="00590848" w:rsidP="00590848">
      <w:r>
        <w:t xml:space="preserve">The EUL specified for </w:t>
      </w:r>
      <w:r w:rsidR="00C03981">
        <w:t>the heat pump water heater</w:t>
      </w:r>
      <w:r w:rsidR="00020218">
        <w:t xml:space="preserve"> </w:t>
      </w:r>
      <w:r>
        <w:t xml:space="preserve">is </w:t>
      </w:r>
      <w:r w:rsidR="00C57984">
        <w:t>specified below</w:t>
      </w:r>
      <w:r>
        <w:t xml:space="preserve">. </w:t>
      </w:r>
    </w:p>
    <w:p w14:paraId="60E71DC0" w14:textId="77777777" w:rsidR="00FD2C54" w:rsidRPr="00920905" w:rsidRDefault="00FD2C54" w:rsidP="007B193E">
      <w:pPr>
        <w:pStyle w:val="Caption"/>
      </w:pPr>
      <w:r>
        <w:t>Effective Useful Life</w:t>
      </w:r>
      <w:r w:rsidR="00E86DF6">
        <w:t xml:space="preserve"> and Remaining Useful Life</w:t>
      </w:r>
    </w:p>
    <w:tbl>
      <w:tblPr>
        <w:tblW w:w="963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740"/>
        <w:gridCol w:w="1440"/>
        <w:gridCol w:w="6450"/>
      </w:tblGrid>
      <w:tr w:rsidR="00975B91" w:rsidRPr="00052C24" w14:paraId="08014BA9" w14:textId="77777777" w:rsidTr="003F606B">
        <w:tc>
          <w:tcPr>
            <w:tcW w:w="1740" w:type="dxa"/>
            <w:shd w:val="clear" w:color="auto" w:fill="F2F2F2" w:themeFill="background1" w:themeFillShade="F2"/>
            <w:vAlign w:val="bottom"/>
          </w:tcPr>
          <w:p w14:paraId="1D6D2778" w14:textId="77777777" w:rsidR="00975B91" w:rsidRPr="00052C24" w:rsidRDefault="00975B91" w:rsidP="00975B91">
            <w:pPr>
              <w:keepNext/>
              <w:keepLines/>
              <w:spacing w:before="0" w:after="0" w:line="200" w:lineRule="atLeast"/>
              <w:jc w:val="center"/>
              <w:rPr>
                <w:b/>
                <w:sz w:val="20"/>
              </w:rPr>
            </w:pPr>
            <w:r>
              <w:rPr>
                <w:b/>
                <w:sz w:val="20"/>
              </w:rPr>
              <w:t>Parameter</w:t>
            </w:r>
          </w:p>
        </w:tc>
        <w:tc>
          <w:tcPr>
            <w:tcW w:w="1440" w:type="dxa"/>
            <w:shd w:val="clear" w:color="auto" w:fill="F2F2F2" w:themeFill="background1" w:themeFillShade="F2"/>
            <w:vAlign w:val="bottom"/>
          </w:tcPr>
          <w:p w14:paraId="7F8FDC77" w14:textId="77777777" w:rsidR="00975B91" w:rsidRPr="00052C24" w:rsidRDefault="00B02DFD" w:rsidP="00975B91">
            <w:pPr>
              <w:keepNext/>
              <w:keepLines/>
              <w:spacing w:before="0" w:after="0" w:line="200" w:lineRule="atLeast"/>
              <w:jc w:val="center"/>
              <w:rPr>
                <w:b/>
                <w:sz w:val="20"/>
              </w:rPr>
            </w:pPr>
            <w:r>
              <w:rPr>
                <w:b/>
                <w:sz w:val="20"/>
              </w:rPr>
              <w:t>Value</w:t>
            </w:r>
          </w:p>
        </w:tc>
        <w:tc>
          <w:tcPr>
            <w:tcW w:w="6450" w:type="dxa"/>
            <w:shd w:val="clear" w:color="auto" w:fill="F2F2F2" w:themeFill="background1" w:themeFillShade="F2"/>
            <w:vAlign w:val="bottom"/>
          </w:tcPr>
          <w:p w14:paraId="4D09B212" w14:textId="77777777" w:rsidR="00975B91" w:rsidRDefault="00975B91" w:rsidP="00975B91">
            <w:pPr>
              <w:keepNext/>
              <w:keepLines/>
              <w:spacing w:before="0" w:after="0" w:line="200" w:lineRule="atLeast"/>
              <w:jc w:val="center"/>
              <w:rPr>
                <w:b/>
                <w:sz w:val="20"/>
              </w:rPr>
            </w:pPr>
            <w:r>
              <w:rPr>
                <w:b/>
                <w:sz w:val="20"/>
              </w:rPr>
              <w:t>Source</w:t>
            </w:r>
          </w:p>
        </w:tc>
      </w:tr>
      <w:tr w:rsidR="00975B91" w:rsidRPr="00052C24" w14:paraId="1541A7B0" w14:textId="77777777" w:rsidTr="003F606B">
        <w:trPr>
          <w:trHeight w:val="260"/>
        </w:trPr>
        <w:tc>
          <w:tcPr>
            <w:tcW w:w="1740" w:type="dxa"/>
            <w:vAlign w:val="center"/>
          </w:tcPr>
          <w:p w14:paraId="34C0542F" w14:textId="77777777" w:rsidR="00975B91" w:rsidRPr="00C45400" w:rsidRDefault="00975B91" w:rsidP="00975B91">
            <w:pPr>
              <w:keepNext/>
              <w:keepLines/>
              <w:spacing w:before="0" w:after="0" w:line="200" w:lineRule="atLeast"/>
              <w:rPr>
                <w:sz w:val="20"/>
              </w:rPr>
            </w:pPr>
            <w:r w:rsidRPr="00C45400">
              <w:rPr>
                <w:sz w:val="20"/>
              </w:rPr>
              <w:t>EUL (</w:t>
            </w:r>
            <w:proofErr w:type="spellStart"/>
            <w:r w:rsidRPr="00C45400">
              <w:rPr>
                <w:sz w:val="20"/>
              </w:rPr>
              <w:t>yrs</w:t>
            </w:r>
            <w:proofErr w:type="spellEnd"/>
            <w:r w:rsidRPr="00C45400">
              <w:rPr>
                <w:sz w:val="20"/>
              </w:rPr>
              <w:t>)</w:t>
            </w:r>
          </w:p>
        </w:tc>
        <w:tc>
          <w:tcPr>
            <w:tcW w:w="1440" w:type="dxa"/>
            <w:shd w:val="clear" w:color="auto" w:fill="auto"/>
            <w:vAlign w:val="center"/>
          </w:tcPr>
          <w:p w14:paraId="516A54FB" w14:textId="77777777" w:rsidR="00975B91" w:rsidRPr="00E86DF6" w:rsidRDefault="00FB5A97" w:rsidP="00975B91">
            <w:pPr>
              <w:keepNext/>
              <w:keepLines/>
              <w:spacing w:before="0" w:after="0" w:line="200" w:lineRule="atLeast"/>
              <w:jc w:val="center"/>
              <w:rPr>
                <w:sz w:val="20"/>
              </w:rPr>
            </w:pPr>
            <w:r w:rsidRPr="00E86DF6">
              <w:rPr>
                <w:sz w:val="20"/>
              </w:rPr>
              <w:t>10</w:t>
            </w:r>
            <w:r w:rsidR="00321489" w:rsidRPr="00E86DF6">
              <w:rPr>
                <w:sz w:val="20"/>
              </w:rPr>
              <w:t>.0</w:t>
            </w:r>
          </w:p>
        </w:tc>
        <w:tc>
          <w:tcPr>
            <w:tcW w:w="6450" w:type="dxa"/>
            <w:vAlign w:val="center"/>
          </w:tcPr>
          <w:p w14:paraId="774B0D14" w14:textId="77777777" w:rsidR="00975B91" w:rsidRPr="000A4C01" w:rsidRDefault="00480D7F" w:rsidP="00975B91">
            <w:pPr>
              <w:keepNext/>
              <w:keepLines/>
              <w:spacing w:before="0" w:after="0" w:line="240" w:lineRule="auto"/>
              <w:rPr>
                <w:rFonts w:eastAsia="Times New Roman" w:cs="Times New Roman"/>
                <w:color w:val="000000"/>
                <w:sz w:val="18"/>
                <w:szCs w:val="18"/>
                <w:highlight w:val="yellow"/>
              </w:rPr>
            </w:pPr>
            <w:r w:rsidRPr="000A4C01">
              <w:rPr>
                <w:sz w:val="18"/>
                <w:szCs w:val="18"/>
              </w:rPr>
              <w:t>California Public Utilities Commission (CPUC). 2014. “DEER2014-EUL-table-update_2014-02-05.xlsx.”</w:t>
            </w:r>
          </w:p>
        </w:tc>
      </w:tr>
      <w:tr w:rsidR="00975B91" w:rsidRPr="00052C24" w14:paraId="2DC40E37" w14:textId="77777777" w:rsidTr="003F606B">
        <w:tc>
          <w:tcPr>
            <w:tcW w:w="1740" w:type="dxa"/>
            <w:vAlign w:val="center"/>
          </w:tcPr>
          <w:p w14:paraId="12CAC250" w14:textId="77777777" w:rsidR="00975B91" w:rsidRPr="00C45400" w:rsidRDefault="00975B91" w:rsidP="00975B91">
            <w:pPr>
              <w:keepNext/>
              <w:keepLines/>
              <w:spacing w:before="0" w:after="0" w:line="200" w:lineRule="atLeast"/>
              <w:rPr>
                <w:sz w:val="20"/>
              </w:rPr>
            </w:pPr>
            <w:r w:rsidRPr="00C45400">
              <w:rPr>
                <w:sz w:val="20"/>
              </w:rPr>
              <w:t>RUL (</w:t>
            </w:r>
            <w:proofErr w:type="spellStart"/>
            <w:r w:rsidRPr="00C45400">
              <w:rPr>
                <w:sz w:val="20"/>
              </w:rPr>
              <w:t>yrs</w:t>
            </w:r>
            <w:proofErr w:type="spellEnd"/>
            <w:r w:rsidRPr="00C45400">
              <w:rPr>
                <w:sz w:val="20"/>
              </w:rPr>
              <w:t>)</w:t>
            </w:r>
          </w:p>
        </w:tc>
        <w:tc>
          <w:tcPr>
            <w:tcW w:w="1440" w:type="dxa"/>
            <w:shd w:val="clear" w:color="auto" w:fill="auto"/>
            <w:vAlign w:val="center"/>
          </w:tcPr>
          <w:p w14:paraId="078D3375" w14:textId="77777777" w:rsidR="00975B91" w:rsidRPr="00E86DF6" w:rsidRDefault="00975B91" w:rsidP="00975B91">
            <w:pPr>
              <w:keepNext/>
              <w:keepLines/>
              <w:spacing w:before="0" w:after="0" w:line="200" w:lineRule="atLeast"/>
              <w:jc w:val="center"/>
              <w:rPr>
                <w:sz w:val="20"/>
              </w:rPr>
            </w:pPr>
            <w:r w:rsidRPr="00E86DF6">
              <w:rPr>
                <w:sz w:val="20"/>
              </w:rPr>
              <w:t>n/a</w:t>
            </w:r>
          </w:p>
        </w:tc>
        <w:tc>
          <w:tcPr>
            <w:tcW w:w="6450" w:type="dxa"/>
            <w:vAlign w:val="center"/>
          </w:tcPr>
          <w:p w14:paraId="4EFBD26A" w14:textId="77777777" w:rsidR="00975B91" w:rsidRPr="00EB04AC" w:rsidRDefault="00975B91" w:rsidP="00975B91">
            <w:pPr>
              <w:keepNext/>
              <w:keepLines/>
              <w:spacing w:before="0" w:after="0" w:line="240" w:lineRule="auto"/>
              <w:rPr>
                <w:rFonts w:eastAsia="Times New Roman" w:cs="Times New Roman"/>
                <w:color w:val="000000"/>
                <w:sz w:val="18"/>
                <w:szCs w:val="18"/>
              </w:rPr>
            </w:pPr>
            <w:r>
              <w:rPr>
                <w:sz w:val="18"/>
              </w:rPr>
              <w:t>n/a</w:t>
            </w:r>
          </w:p>
        </w:tc>
      </w:tr>
    </w:tbl>
    <w:p w14:paraId="5562286C" w14:textId="77777777" w:rsidR="007D230B" w:rsidRPr="004B06E3" w:rsidRDefault="007D230B" w:rsidP="004142EF"/>
    <w:p w14:paraId="31B5AC46" w14:textId="77777777" w:rsidR="007D230B" w:rsidRDefault="007D230B" w:rsidP="000F1A47">
      <w:pPr>
        <w:pStyle w:val="eTRMHeading3"/>
      </w:pPr>
      <w:bookmarkStart w:id="54" w:name="_Toc486490860"/>
      <w:bookmarkStart w:id="55" w:name="_Toc486580931"/>
      <w:bookmarkStart w:id="56" w:name="_Toc2234185"/>
      <w:r w:rsidRPr="004B06E3">
        <w:t>Base Case Material Cost ($/unit)</w:t>
      </w:r>
      <w:bookmarkEnd w:id="54"/>
      <w:bookmarkEnd w:id="55"/>
      <w:bookmarkEnd w:id="56"/>
    </w:p>
    <w:p w14:paraId="219EC8A2" w14:textId="77777777" w:rsidR="00C93AD9" w:rsidRDefault="00F13D26" w:rsidP="00F13D26">
      <w:pPr>
        <w:rPr>
          <w:szCs w:val="22"/>
        </w:rPr>
      </w:pPr>
      <w:bookmarkStart w:id="57" w:name="_Toc486490861"/>
      <w:bookmarkStart w:id="58" w:name="_Toc486580932"/>
      <w:r>
        <w:rPr>
          <w:szCs w:val="22"/>
        </w:rPr>
        <w:t xml:space="preserve">Base case material costs </w:t>
      </w:r>
      <w:r w:rsidR="00864E31">
        <w:rPr>
          <w:szCs w:val="22"/>
        </w:rPr>
        <w:t>are based upon</w:t>
      </w:r>
      <w:r>
        <w:rPr>
          <w:szCs w:val="22"/>
        </w:rPr>
        <w:t xml:space="preserve"> the </w:t>
      </w:r>
      <w:r w:rsidR="00864E31">
        <w:rPr>
          <w:szCs w:val="22"/>
        </w:rPr>
        <w:t xml:space="preserve">costs developed for the </w:t>
      </w:r>
      <w:r w:rsidRPr="00B91A84">
        <w:rPr>
          <w:szCs w:val="22"/>
        </w:rPr>
        <w:t xml:space="preserve">2010-2012 </w:t>
      </w:r>
      <w:r w:rsidR="00864E31" w:rsidRPr="00B91A84">
        <w:rPr>
          <w:szCs w:val="22"/>
        </w:rPr>
        <w:t xml:space="preserve">Ex Ante Measure Cost Study conducted by </w:t>
      </w:r>
      <w:proofErr w:type="spellStart"/>
      <w:r w:rsidR="00864E31" w:rsidRPr="00B91A84">
        <w:rPr>
          <w:szCs w:val="22"/>
        </w:rPr>
        <w:t>Itron</w:t>
      </w:r>
      <w:proofErr w:type="spellEnd"/>
      <w:r w:rsidR="00864E31" w:rsidRPr="00B91A84">
        <w:rPr>
          <w:szCs w:val="22"/>
        </w:rPr>
        <w:t>, Inc.</w:t>
      </w:r>
      <w:r w:rsidR="00B91A84" w:rsidRPr="00B91A84">
        <w:rPr>
          <w:rStyle w:val="FootnoteReference"/>
          <w:szCs w:val="22"/>
        </w:rPr>
        <w:footnoteReference w:id="13"/>
      </w:r>
      <w:r w:rsidR="00864E31" w:rsidRPr="00B91A84">
        <w:rPr>
          <w:szCs w:val="22"/>
        </w:rPr>
        <w:t xml:space="preserve"> </w:t>
      </w:r>
      <w:r w:rsidR="00AA58CB" w:rsidRPr="00B91A84">
        <w:rPr>
          <w:szCs w:val="22"/>
        </w:rPr>
        <w:t xml:space="preserve">The costs </w:t>
      </w:r>
      <w:r w:rsidR="00AA58CB">
        <w:rPr>
          <w:szCs w:val="22"/>
        </w:rPr>
        <w:t>represent</w:t>
      </w:r>
      <w:r w:rsidR="00AA58CB" w:rsidRPr="00B91A84">
        <w:rPr>
          <w:szCs w:val="22"/>
        </w:rPr>
        <w:t xml:space="preserve"> electric storage water h</w:t>
      </w:r>
      <w:r w:rsidR="00AA58CB">
        <w:rPr>
          <w:szCs w:val="22"/>
        </w:rPr>
        <w:t xml:space="preserve">eaters of 30, 40, and 50 gallons, and online retailer prices for base cases involving water heaters with storage capacity greater than 55 gallons (specifically, 60 and 75-gallon capacities). </w:t>
      </w:r>
    </w:p>
    <w:p w14:paraId="6383A21A" w14:textId="77777777" w:rsidR="00F13D26" w:rsidRDefault="00C93AD9" w:rsidP="00F13D26">
      <w:pPr>
        <w:rPr>
          <w:szCs w:val="22"/>
        </w:rPr>
      </w:pPr>
      <w:r>
        <w:rPr>
          <w:szCs w:val="22"/>
        </w:rPr>
        <w:t xml:space="preserve">The costs from the </w:t>
      </w:r>
      <w:r w:rsidRPr="00B91A84">
        <w:rPr>
          <w:szCs w:val="22"/>
        </w:rPr>
        <w:t>Ex Ante Measure Cost Study</w:t>
      </w:r>
      <w:r w:rsidR="008A6EE1">
        <w:rPr>
          <w:szCs w:val="22"/>
        </w:rPr>
        <w:t xml:space="preserve"> were </w:t>
      </w:r>
      <w:r>
        <w:rPr>
          <w:szCs w:val="22"/>
        </w:rPr>
        <w:t xml:space="preserve">then </w:t>
      </w:r>
      <w:r w:rsidR="00C22794">
        <w:rPr>
          <w:szCs w:val="22"/>
        </w:rPr>
        <w:t>converted</w:t>
      </w:r>
      <w:r w:rsidR="008A6EE1">
        <w:rPr>
          <w:szCs w:val="22"/>
        </w:rPr>
        <w:t xml:space="preserve"> to 2018 values using </w:t>
      </w:r>
      <w:proofErr w:type="spellStart"/>
      <w:r w:rsidR="008A6EE1">
        <w:rPr>
          <w:szCs w:val="22"/>
        </w:rPr>
        <w:t>RSMeans</w:t>
      </w:r>
      <w:proofErr w:type="spellEnd"/>
      <w:r w:rsidR="008A6EE1">
        <w:rPr>
          <w:szCs w:val="22"/>
        </w:rPr>
        <w:t xml:space="preserve"> historical cost index ratios</w:t>
      </w:r>
      <w:r>
        <w:rPr>
          <w:szCs w:val="22"/>
        </w:rPr>
        <w:t>.</w:t>
      </w:r>
      <w:r w:rsidR="00C22794">
        <w:rPr>
          <w:rStyle w:val="FootnoteReference"/>
          <w:szCs w:val="22"/>
        </w:rPr>
        <w:footnoteReference w:id="14"/>
      </w:r>
    </w:p>
    <w:p w14:paraId="4BEEA293" w14:textId="77777777" w:rsidR="007743C7" w:rsidRDefault="007743C7" w:rsidP="007743C7"/>
    <w:p w14:paraId="1CDFC728" w14:textId="77777777" w:rsidR="007D230B" w:rsidRPr="004B06E3" w:rsidRDefault="007D230B" w:rsidP="000F1A47">
      <w:pPr>
        <w:pStyle w:val="eTRMHeading3"/>
      </w:pPr>
      <w:bookmarkStart w:id="59" w:name="_Toc2234186"/>
      <w:r w:rsidRPr="004B06E3">
        <w:lastRenderedPageBreak/>
        <w:t>Measure Case Material Cost ($/unit)</w:t>
      </w:r>
      <w:bookmarkEnd w:id="57"/>
      <w:bookmarkEnd w:id="58"/>
      <w:bookmarkEnd w:id="59"/>
    </w:p>
    <w:p w14:paraId="4FE816A2" w14:textId="77777777" w:rsidR="00F13D26" w:rsidRDefault="00864E31" w:rsidP="00F13D26">
      <w:pPr>
        <w:rPr>
          <w:szCs w:val="22"/>
        </w:rPr>
      </w:pPr>
      <w:r w:rsidRPr="001C50E1">
        <w:rPr>
          <w:szCs w:val="22"/>
        </w:rPr>
        <w:t>Measure cas</w:t>
      </w:r>
      <w:r w:rsidR="003F175B" w:rsidRPr="001C50E1">
        <w:rPr>
          <w:szCs w:val="22"/>
        </w:rPr>
        <w:t>e</w:t>
      </w:r>
      <w:r w:rsidRPr="001C50E1">
        <w:rPr>
          <w:szCs w:val="22"/>
        </w:rPr>
        <w:t xml:space="preserve"> equipment </w:t>
      </w:r>
      <w:r w:rsidR="00F13D26" w:rsidRPr="001C50E1">
        <w:rPr>
          <w:szCs w:val="22"/>
        </w:rPr>
        <w:t>costs</w:t>
      </w:r>
      <w:r w:rsidR="007956B1" w:rsidRPr="001C50E1">
        <w:rPr>
          <w:rStyle w:val="FootnoteReference"/>
          <w:szCs w:val="22"/>
        </w:rPr>
        <w:footnoteReference w:id="15"/>
      </w:r>
      <w:r w:rsidR="00F13D26" w:rsidRPr="001C50E1">
        <w:rPr>
          <w:szCs w:val="22"/>
        </w:rPr>
        <w:t xml:space="preserve"> were </w:t>
      </w:r>
      <w:r w:rsidRPr="001C50E1">
        <w:rPr>
          <w:szCs w:val="22"/>
        </w:rPr>
        <w:t xml:space="preserve">calculated as the average of costs of qualifying units sold by </w:t>
      </w:r>
      <w:r w:rsidR="00F13D26" w:rsidRPr="001C50E1">
        <w:rPr>
          <w:szCs w:val="22"/>
        </w:rPr>
        <w:t>online retailers</w:t>
      </w:r>
      <w:r w:rsidR="001B50F5">
        <w:rPr>
          <w:szCs w:val="22"/>
        </w:rPr>
        <w:t>.</w:t>
      </w:r>
      <w:r w:rsidRPr="001C50E1">
        <w:rPr>
          <w:rStyle w:val="FootnoteReference"/>
          <w:szCs w:val="22"/>
        </w:rPr>
        <w:footnoteReference w:id="16"/>
      </w:r>
      <w:r w:rsidR="00F13D26">
        <w:rPr>
          <w:szCs w:val="22"/>
        </w:rPr>
        <w:t xml:space="preserve"> </w:t>
      </w:r>
      <w:r w:rsidR="00B91A84">
        <w:rPr>
          <w:szCs w:val="22"/>
        </w:rPr>
        <w:t xml:space="preserve">The market is limited </w:t>
      </w:r>
      <w:r w:rsidR="005C77AB">
        <w:rPr>
          <w:szCs w:val="22"/>
        </w:rPr>
        <w:t xml:space="preserve">for heat pump water heaters </w:t>
      </w:r>
      <w:r w:rsidR="00B91A84">
        <w:rPr>
          <w:rFonts w:cs="Calibri Light"/>
          <w:szCs w:val="22"/>
        </w:rPr>
        <w:t>≥</w:t>
      </w:r>
      <w:r w:rsidR="00F13D26">
        <w:rPr>
          <w:szCs w:val="22"/>
        </w:rPr>
        <w:t xml:space="preserve"> </w:t>
      </w:r>
      <w:r w:rsidR="00DE7468">
        <w:rPr>
          <w:szCs w:val="22"/>
        </w:rPr>
        <w:t>2.91</w:t>
      </w:r>
      <w:r w:rsidR="00F13D26">
        <w:rPr>
          <w:szCs w:val="22"/>
        </w:rPr>
        <w:t xml:space="preserve"> </w:t>
      </w:r>
      <w:r w:rsidR="00DE7468">
        <w:rPr>
          <w:szCs w:val="22"/>
        </w:rPr>
        <w:t>U</w:t>
      </w:r>
      <w:r w:rsidR="00F13D26">
        <w:rPr>
          <w:szCs w:val="22"/>
        </w:rPr>
        <w:t>EF</w:t>
      </w:r>
      <w:r w:rsidR="00B91A84">
        <w:rPr>
          <w:szCs w:val="22"/>
        </w:rPr>
        <w:t>; c</w:t>
      </w:r>
      <w:r w:rsidR="00F13D26">
        <w:rPr>
          <w:szCs w:val="22"/>
        </w:rPr>
        <w:t xml:space="preserve">osts were </w:t>
      </w:r>
      <w:r w:rsidR="00B91A84">
        <w:rPr>
          <w:szCs w:val="22"/>
        </w:rPr>
        <w:t>based upon seven models (</w:t>
      </w:r>
      <w:r w:rsidR="003F175B">
        <w:rPr>
          <w:szCs w:val="22"/>
        </w:rPr>
        <w:t xml:space="preserve">represented by </w:t>
      </w:r>
      <w:r w:rsidR="00B91A84">
        <w:rPr>
          <w:szCs w:val="22"/>
        </w:rPr>
        <w:t>five manufacturers)</w:t>
      </w:r>
      <w:r w:rsidR="00F13D26">
        <w:rPr>
          <w:szCs w:val="22"/>
        </w:rPr>
        <w:t xml:space="preserve">. </w:t>
      </w:r>
      <w:r w:rsidR="00BF5CC8">
        <w:rPr>
          <w:szCs w:val="22"/>
        </w:rPr>
        <w:t>T</w:t>
      </w:r>
      <w:r w:rsidR="003F175B">
        <w:rPr>
          <w:szCs w:val="22"/>
        </w:rPr>
        <w:t>hese</w:t>
      </w:r>
      <w:r w:rsidR="00822FF2">
        <w:rPr>
          <w:szCs w:val="22"/>
        </w:rPr>
        <w:t xml:space="preserve"> c</w:t>
      </w:r>
      <w:r w:rsidR="00DE7468">
        <w:rPr>
          <w:szCs w:val="22"/>
        </w:rPr>
        <w:t xml:space="preserve">osts </w:t>
      </w:r>
      <w:r w:rsidR="00BF5CC8">
        <w:rPr>
          <w:szCs w:val="22"/>
        </w:rPr>
        <w:t>were</w:t>
      </w:r>
      <w:r w:rsidR="00DE7468">
        <w:rPr>
          <w:szCs w:val="22"/>
        </w:rPr>
        <w:t xml:space="preserve"> determined to be </w:t>
      </w:r>
      <w:r w:rsidR="00BF5CC8">
        <w:rPr>
          <w:szCs w:val="22"/>
        </w:rPr>
        <w:t>representative of unit costs</w:t>
      </w:r>
      <w:r w:rsidR="00822FF2">
        <w:rPr>
          <w:szCs w:val="22"/>
        </w:rPr>
        <w:t xml:space="preserve"> based on online retailer checks in </w:t>
      </w:r>
      <w:r w:rsidR="001C50E1">
        <w:rPr>
          <w:szCs w:val="22"/>
        </w:rPr>
        <w:t>the first quarter</w:t>
      </w:r>
      <w:r w:rsidR="00822FF2">
        <w:rPr>
          <w:szCs w:val="22"/>
        </w:rPr>
        <w:t xml:space="preserve"> of 2019.</w:t>
      </w:r>
    </w:p>
    <w:p w14:paraId="15B91B2C" w14:textId="77777777" w:rsidR="007743C7" w:rsidRDefault="007743C7" w:rsidP="004142EF"/>
    <w:p w14:paraId="7954240C" w14:textId="77777777" w:rsidR="00BF5CC8" w:rsidRPr="004B06E3" w:rsidRDefault="00BF5CC8" w:rsidP="00BF5CC8">
      <w:pPr>
        <w:pStyle w:val="eTRMHeading3"/>
      </w:pPr>
      <w:bookmarkStart w:id="60" w:name="_Toc2234187"/>
      <w:r>
        <w:t xml:space="preserve">Base Case </w:t>
      </w:r>
      <w:r w:rsidRPr="004B06E3">
        <w:t>Labor Cost ($/unit)</w:t>
      </w:r>
      <w:bookmarkEnd w:id="60"/>
    </w:p>
    <w:p w14:paraId="2BF7E1FD" w14:textId="77777777" w:rsidR="00BF5CC8" w:rsidRDefault="00BF5CC8" w:rsidP="00BF5CC8">
      <w:pPr>
        <w:rPr>
          <w:szCs w:val="22"/>
        </w:rPr>
      </w:pPr>
      <w:r>
        <w:rPr>
          <w:szCs w:val="22"/>
        </w:rPr>
        <w:t xml:space="preserve">Base case labor costs are based upon the costs developed for the </w:t>
      </w:r>
      <w:r w:rsidRPr="00B91A84">
        <w:rPr>
          <w:szCs w:val="22"/>
        </w:rPr>
        <w:t xml:space="preserve">2010-2012 Ex Ante Measure Cost Study conducted by </w:t>
      </w:r>
      <w:proofErr w:type="spellStart"/>
      <w:r w:rsidRPr="00B91A84">
        <w:rPr>
          <w:szCs w:val="22"/>
        </w:rPr>
        <w:t>Itron</w:t>
      </w:r>
      <w:proofErr w:type="spellEnd"/>
      <w:r w:rsidRPr="00B91A84">
        <w:rPr>
          <w:szCs w:val="22"/>
        </w:rPr>
        <w:t>, Inc.</w:t>
      </w:r>
      <w:r w:rsidRPr="00B91A84">
        <w:rPr>
          <w:rStyle w:val="FootnoteReference"/>
          <w:szCs w:val="22"/>
        </w:rPr>
        <w:footnoteReference w:id="17"/>
      </w:r>
      <w:r w:rsidRPr="00B91A84">
        <w:rPr>
          <w:szCs w:val="22"/>
        </w:rPr>
        <w:t xml:space="preserve"> The costs </w:t>
      </w:r>
      <w:r>
        <w:rPr>
          <w:szCs w:val="22"/>
        </w:rPr>
        <w:t>represent</w:t>
      </w:r>
      <w:r w:rsidRPr="00B91A84">
        <w:rPr>
          <w:szCs w:val="22"/>
        </w:rPr>
        <w:t xml:space="preserve"> electric storage water h</w:t>
      </w:r>
      <w:r>
        <w:rPr>
          <w:szCs w:val="22"/>
        </w:rPr>
        <w:t xml:space="preserve">eaters of 30, 40, and 50 gallons, and online retailer prices for base cases involving water heaters with storage capacity greater than 55 gallons (specifically, 60 and 75-gallon capacities). </w:t>
      </w:r>
    </w:p>
    <w:p w14:paraId="5FA563AD" w14:textId="77777777" w:rsidR="00BF5CC8" w:rsidRDefault="00BF5CC8" w:rsidP="00BF5CC8">
      <w:pPr>
        <w:rPr>
          <w:szCs w:val="22"/>
        </w:rPr>
      </w:pPr>
      <w:r>
        <w:rPr>
          <w:szCs w:val="22"/>
        </w:rPr>
        <w:t xml:space="preserve">The costs from the </w:t>
      </w:r>
      <w:r w:rsidRPr="00B91A84">
        <w:rPr>
          <w:szCs w:val="22"/>
        </w:rPr>
        <w:t>Ex Ante Measure Cost Study</w:t>
      </w:r>
      <w:r>
        <w:rPr>
          <w:szCs w:val="22"/>
        </w:rPr>
        <w:t xml:space="preserve"> were then converted to 2018 values using </w:t>
      </w:r>
      <w:proofErr w:type="spellStart"/>
      <w:r>
        <w:rPr>
          <w:szCs w:val="22"/>
        </w:rPr>
        <w:t>RSMeans</w:t>
      </w:r>
      <w:proofErr w:type="spellEnd"/>
      <w:r>
        <w:rPr>
          <w:szCs w:val="22"/>
        </w:rPr>
        <w:t xml:space="preserve"> historical cost index ratios.</w:t>
      </w:r>
      <w:r>
        <w:rPr>
          <w:rStyle w:val="FootnoteReference"/>
          <w:szCs w:val="22"/>
        </w:rPr>
        <w:footnoteReference w:id="18"/>
      </w:r>
    </w:p>
    <w:p w14:paraId="66EDC999" w14:textId="77777777" w:rsidR="00BF5CC8" w:rsidRPr="004B06E3" w:rsidRDefault="00BF5CC8" w:rsidP="004142EF"/>
    <w:p w14:paraId="4B5BE60C" w14:textId="77777777" w:rsidR="007D230B" w:rsidRPr="004B06E3" w:rsidRDefault="00BF5CC8" w:rsidP="000F1A47">
      <w:pPr>
        <w:pStyle w:val="eTRMHeading3"/>
      </w:pPr>
      <w:bookmarkStart w:id="61" w:name="_Toc486490862"/>
      <w:bookmarkStart w:id="62" w:name="_Toc486580933"/>
      <w:bookmarkStart w:id="63" w:name="_Toc2234188"/>
      <w:r>
        <w:t xml:space="preserve">Measure Case </w:t>
      </w:r>
      <w:r w:rsidR="007D230B" w:rsidRPr="004B06E3">
        <w:t>Labor Cost ($/unit)</w:t>
      </w:r>
      <w:bookmarkEnd w:id="61"/>
      <w:bookmarkEnd w:id="62"/>
      <w:bookmarkEnd w:id="63"/>
    </w:p>
    <w:p w14:paraId="1F9530AE" w14:textId="77777777" w:rsidR="00B91A84" w:rsidRDefault="00BF5CC8" w:rsidP="00F13D26">
      <w:pPr>
        <w:rPr>
          <w:szCs w:val="22"/>
        </w:rPr>
      </w:pPr>
      <w:bookmarkStart w:id="64" w:name="_Toc486490863"/>
      <w:bookmarkStart w:id="65" w:name="_Toc486580934"/>
      <w:r>
        <w:rPr>
          <w:szCs w:val="22"/>
        </w:rPr>
        <w:t>M</w:t>
      </w:r>
      <w:r w:rsidR="005C77AB">
        <w:rPr>
          <w:szCs w:val="22"/>
        </w:rPr>
        <w:t xml:space="preserve">easure case </w:t>
      </w:r>
      <w:r>
        <w:rPr>
          <w:szCs w:val="22"/>
        </w:rPr>
        <w:t xml:space="preserve">labor costs </w:t>
      </w:r>
      <w:r w:rsidR="00B91A84">
        <w:rPr>
          <w:szCs w:val="22"/>
        </w:rPr>
        <w:t>are</w:t>
      </w:r>
      <w:r w:rsidR="00F13D26">
        <w:rPr>
          <w:szCs w:val="22"/>
        </w:rPr>
        <w:t xml:space="preserve"> </w:t>
      </w:r>
      <w:r w:rsidR="00330C88">
        <w:rPr>
          <w:szCs w:val="22"/>
        </w:rPr>
        <w:t>assumed to equal</w:t>
      </w:r>
      <w:r w:rsidR="00F13D26">
        <w:rPr>
          <w:szCs w:val="22"/>
        </w:rPr>
        <w:t xml:space="preserve"> the base case</w:t>
      </w:r>
      <w:r w:rsidR="00330C88">
        <w:rPr>
          <w:szCs w:val="22"/>
        </w:rPr>
        <w:t xml:space="preserve"> labor</w:t>
      </w:r>
      <w:r w:rsidR="00F13D26">
        <w:rPr>
          <w:szCs w:val="22"/>
        </w:rPr>
        <w:t xml:space="preserve"> costs for equivalent capacities, </w:t>
      </w:r>
      <w:r w:rsidR="00B91A84">
        <w:rPr>
          <w:szCs w:val="22"/>
        </w:rPr>
        <w:t xml:space="preserve">as presented in </w:t>
      </w:r>
      <w:r w:rsidR="005C77AB">
        <w:rPr>
          <w:szCs w:val="22"/>
        </w:rPr>
        <w:t xml:space="preserve">the electric storage water heater </w:t>
      </w:r>
      <w:r w:rsidR="00F13D26">
        <w:rPr>
          <w:szCs w:val="22"/>
        </w:rPr>
        <w:t xml:space="preserve">section </w:t>
      </w:r>
      <w:r w:rsidR="00B91A84">
        <w:rPr>
          <w:szCs w:val="22"/>
        </w:rPr>
        <w:t xml:space="preserve">of the </w:t>
      </w:r>
      <w:r w:rsidR="00B91A84" w:rsidRPr="00B91A84">
        <w:rPr>
          <w:szCs w:val="22"/>
        </w:rPr>
        <w:t xml:space="preserve">2010-2012 Ex Ante Measure Cost Study conducted by </w:t>
      </w:r>
      <w:proofErr w:type="spellStart"/>
      <w:r w:rsidR="00B91A84" w:rsidRPr="00B91A84">
        <w:rPr>
          <w:szCs w:val="22"/>
        </w:rPr>
        <w:t>Itron</w:t>
      </w:r>
      <w:proofErr w:type="spellEnd"/>
      <w:r w:rsidR="00B91A84" w:rsidRPr="00B91A84">
        <w:rPr>
          <w:szCs w:val="22"/>
        </w:rPr>
        <w:t>, Inc.</w:t>
      </w:r>
      <w:r w:rsidR="00B91A84" w:rsidRPr="00B91A84">
        <w:rPr>
          <w:rStyle w:val="FootnoteReference"/>
          <w:szCs w:val="22"/>
        </w:rPr>
        <w:footnoteReference w:id="19"/>
      </w:r>
      <w:r w:rsidR="00F13D26">
        <w:rPr>
          <w:szCs w:val="22"/>
        </w:rPr>
        <w:t xml:space="preserve"> </w:t>
      </w:r>
      <w:r>
        <w:rPr>
          <w:szCs w:val="22"/>
        </w:rPr>
        <w:t xml:space="preserve">The costs from the </w:t>
      </w:r>
      <w:r w:rsidRPr="00B91A84">
        <w:rPr>
          <w:szCs w:val="22"/>
        </w:rPr>
        <w:t>Ex Ante Measure Cost Study</w:t>
      </w:r>
      <w:r>
        <w:rPr>
          <w:szCs w:val="22"/>
        </w:rPr>
        <w:t xml:space="preserve"> were then converted to 2018 values using </w:t>
      </w:r>
      <w:proofErr w:type="spellStart"/>
      <w:r>
        <w:rPr>
          <w:szCs w:val="22"/>
        </w:rPr>
        <w:t>RSMeans</w:t>
      </w:r>
      <w:proofErr w:type="spellEnd"/>
      <w:r>
        <w:rPr>
          <w:szCs w:val="22"/>
        </w:rPr>
        <w:t xml:space="preserve"> historical cost index ratios.</w:t>
      </w:r>
      <w:r>
        <w:rPr>
          <w:rStyle w:val="FootnoteReference"/>
          <w:szCs w:val="22"/>
        </w:rPr>
        <w:footnoteReference w:id="20"/>
      </w:r>
    </w:p>
    <w:p w14:paraId="39794047" w14:textId="77777777" w:rsidR="00F13D26" w:rsidRDefault="00B91A84" w:rsidP="00F13D26">
      <w:pPr>
        <w:rPr>
          <w:szCs w:val="22"/>
        </w:rPr>
      </w:pPr>
      <w:r>
        <w:rPr>
          <w:szCs w:val="22"/>
        </w:rPr>
        <w:t>S</w:t>
      </w:r>
      <w:r w:rsidR="00847908">
        <w:rPr>
          <w:szCs w:val="22"/>
        </w:rPr>
        <w:t>maller 30, 40, and 50</w:t>
      </w:r>
      <w:r>
        <w:rPr>
          <w:szCs w:val="22"/>
        </w:rPr>
        <w:t>-</w:t>
      </w:r>
      <w:r w:rsidR="00847908">
        <w:rPr>
          <w:szCs w:val="22"/>
        </w:rPr>
        <w:t xml:space="preserve">gallon heaters are replaced with </w:t>
      </w:r>
      <w:r w:rsidR="002544B1">
        <w:rPr>
          <w:szCs w:val="22"/>
        </w:rPr>
        <w:t xml:space="preserve">45 </w:t>
      </w:r>
      <w:r w:rsidR="00847908">
        <w:rPr>
          <w:szCs w:val="22"/>
        </w:rPr>
        <w:t>to 55</w:t>
      </w:r>
      <w:r>
        <w:rPr>
          <w:szCs w:val="22"/>
        </w:rPr>
        <w:t>-</w:t>
      </w:r>
      <w:r w:rsidR="00847908">
        <w:rPr>
          <w:szCs w:val="22"/>
        </w:rPr>
        <w:t>gallon heat pump water heaters</w:t>
      </w:r>
      <w:r w:rsidR="00DA537D">
        <w:rPr>
          <w:szCs w:val="22"/>
        </w:rPr>
        <w:t>, thus t</w:t>
      </w:r>
      <w:r w:rsidR="00F13D26">
        <w:rPr>
          <w:szCs w:val="22"/>
        </w:rPr>
        <w:t>he labor cost for th</w:t>
      </w:r>
      <w:r w:rsidR="00847908">
        <w:rPr>
          <w:szCs w:val="22"/>
        </w:rPr>
        <w:t>ese measures</w:t>
      </w:r>
      <w:r w:rsidR="00F13D26">
        <w:rPr>
          <w:szCs w:val="22"/>
        </w:rPr>
        <w:t xml:space="preserve"> is equal</w:t>
      </w:r>
      <w:r w:rsidR="00E020D6">
        <w:rPr>
          <w:szCs w:val="22"/>
        </w:rPr>
        <w:t xml:space="preserve"> to the base labor cost of a 50-</w:t>
      </w:r>
      <w:r w:rsidR="00F13D26">
        <w:rPr>
          <w:szCs w:val="22"/>
        </w:rPr>
        <w:t>gallon heater.</w:t>
      </w:r>
      <w:r w:rsidR="00847908">
        <w:rPr>
          <w:szCs w:val="22"/>
        </w:rPr>
        <w:t xml:space="preserve"> The labor costs for large</w:t>
      </w:r>
      <w:r>
        <w:rPr>
          <w:szCs w:val="22"/>
        </w:rPr>
        <w:t>r</w:t>
      </w:r>
      <w:r w:rsidR="00847908">
        <w:rPr>
          <w:szCs w:val="22"/>
        </w:rPr>
        <w:t xml:space="preserve"> heaters are based on 60 and 75 gallons and are </w:t>
      </w:r>
      <w:r>
        <w:rPr>
          <w:szCs w:val="22"/>
        </w:rPr>
        <w:t xml:space="preserve">assumed to be equal </w:t>
      </w:r>
      <w:r w:rsidR="00847908">
        <w:rPr>
          <w:szCs w:val="22"/>
        </w:rPr>
        <w:t xml:space="preserve">for the base and measure cases. </w:t>
      </w:r>
    </w:p>
    <w:p w14:paraId="7BA3BF0D" w14:textId="77777777" w:rsidR="00F13D26" w:rsidRDefault="00F13D26" w:rsidP="00F13D26"/>
    <w:p w14:paraId="53E55F11" w14:textId="77777777" w:rsidR="007D230B" w:rsidRPr="004B06E3" w:rsidRDefault="004B06E3" w:rsidP="000F1A47">
      <w:pPr>
        <w:pStyle w:val="eTRMHeading3"/>
      </w:pPr>
      <w:bookmarkStart w:id="66" w:name="_Toc2234189"/>
      <w:r>
        <w:t>Net-to-Gross</w:t>
      </w:r>
      <w:bookmarkEnd w:id="64"/>
      <w:bookmarkEnd w:id="65"/>
      <w:r w:rsidR="008D4652">
        <w:t xml:space="preserve"> (NTG)</w:t>
      </w:r>
      <w:bookmarkEnd w:id="66"/>
    </w:p>
    <w:p w14:paraId="217CE712" w14:textId="77777777" w:rsidR="00BE1C88" w:rsidRPr="00BE1C88" w:rsidRDefault="00297CCD" w:rsidP="00BE1C88">
      <w:r w:rsidRPr="00AF3038">
        <w:t xml:space="preserve">The net-to-gross (NTG) ratio represents the portion of gross impacts that are determined to be directly attributed to a specific program intervention. </w:t>
      </w:r>
      <w:r w:rsidR="00BE1C88" w:rsidRPr="00BE1C88">
        <w:t xml:space="preserve">The commercial and residential NTG values are based upon </w:t>
      </w:r>
      <w:r w:rsidR="00BE1C88" w:rsidRPr="00BE1C88">
        <w:lastRenderedPageBreak/>
        <w:t xml:space="preserve">the average of all NTG ratios for all evaluated 2006 – 2008 </w:t>
      </w:r>
      <w:r w:rsidR="00C03981">
        <w:t>residential</w:t>
      </w:r>
      <w:r w:rsidR="00E86DF6">
        <w:t xml:space="preserve"> </w:t>
      </w:r>
      <w:r w:rsidR="00BE1C88" w:rsidRPr="00BE1C88">
        <w:t xml:space="preserve">programs, as documented in the 2011 DEER Update Study conducted by </w:t>
      </w:r>
      <w:proofErr w:type="spellStart"/>
      <w:r w:rsidR="00BE1C88" w:rsidRPr="00BE1C88">
        <w:t>Itron</w:t>
      </w:r>
      <w:proofErr w:type="spellEnd"/>
      <w:r w:rsidR="00BE1C88" w:rsidRPr="00BE1C88">
        <w:t>, Inc. The</w:t>
      </w:r>
      <w:r w:rsidR="00C03981">
        <w:t xml:space="preserve"> residential and commercial (nonresidential)</w:t>
      </w:r>
      <w:r w:rsidR="00BE1C88" w:rsidRPr="00BE1C88">
        <w:t xml:space="preserve"> sector average NTGs (“default NTGs”) are applicable to all new energy efficiency measures that have been offered through</w:t>
      </w:r>
      <w:r w:rsidR="00C03981">
        <w:t xml:space="preserve"> residential</w:t>
      </w:r>
      <w:r w:rsidR="00BE1C88" w:rsidRPr="00BE1C88">
        <w:t xml:space="preserve"> sector programs for </w:t>
      </w:r>
      <w:r w:rsidR="00C03981">
        <w:t>more</w:t>
      </w:r>
      <w:r w:rsidR="00BE1C88" w:rsidRPr="00BE1C88">
        <w:t xml:space="preserve"> than two years and for which impact evaluation results are not available. </w:t>
      </w:r>
    </w:p>
    <w:p w14:paraId="4FB9537D" w14:textId="77777777" w:rsidR="00DE1A0F" w:rsidRDefault="00DE1A0F" w:rsidP="00E86DF6">
      <w:pPr>
        <w:pStyle w:val="Caption"/>
      </w:pPr>
      <w:r>
        <w:t>Net-to-Gross Ratios</w:t>
      </w:r>
    </w:p>
    <w:tbl>
      <w:tblPr>
        <w:tblW w:w="900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190"/>
        <w:gridCol w:w="1620"/>
        <w:gridCol w:w="5190"/>
      </w:tblGrid>
      <w:tr w:rsidR="006B28A2" w:rsidRPr="00052C24" w14:paraId="2373D238" w14:textId="77777777" w:rsidTr="00DA537D">
        <w:tc>
          <w:tcPr>
            <w:tcW w:w="2190" w:type="dxa"/>
            <w:shd w:val="clear" w:color="auto" w:fill="F2F2F2" w:themeFill="background1" w:themeFillShade="F2"/>
            <w:vAlign w:val="bottom"/>
          </w:tcPr>
          <w:p w14:paraId="13C4B3DC" w14:textId="77777777" w:rsidR="006B28A2" w:rsidRPr="00052C24" w:rsidRDefault="006B28A2" w:rsidP="000A4C01">
            <w:pPr>
              <w:keepNext/>
              <w:keepLines/>
              <w:spacing w:before="0" w:after="0" w:line="240" w:lineRule="auto"/>
              <w:jc w:val="center"/>
              <w:rPr>
                <w:b/>
                <w:sz w:val="20"/>
              </w:rPr>
            </w:pPr>
            <w:r>
              <w:rPr>
                <w:b/>
                <w:sz w:val="20"/>
              </w:rPr>
              <w:t>Parameter</w:t>
            </w:r>
          </w:p>
        </w:tc>
        <w:tc>
          <w:tcPr>
            <w:tcW w:w="1620" w:type="dxa"/>
            <w:shd w:val="clear" w:color="auto" w:fill="F2F2F2" w:themeFill="background1" w:themeFillShade="F2"/>
            <w:vAlign w:val="bottom"/>
          </w:tcPr>
          <w:p w14:paraId="7C34C367" w14:textId="77777777" w:rsidR="006B28A2" w:rsidRPr="00052C24" w:rsidRDefault="006B28A2" w:rsidP="000A4C01">
            <w:pPr>
              <w:keepNext/>
              <w:keepLines/>
              <w:spacing w:before="0" w:after="0" w:line="240" w:lineRule="auto"/>
              <w:jc w:val="center"/>
              <w:rPr>
                <w:b/>
                <w:sz w:val="20"/>
              </w:rPr>
            </w:pPr>
            <w:r>
              <w:rPr>
                <w:b/>
                <w:sz w:val="20"/>
              </w:rPr>
              <w:t>Value</w:t>
            </w:r>
          </w:p>
        </w:tc>
        <w:tc>
          <w:tcPr>
            <w:tcW w:w="5190" w:type="dxa"/>
            <w:shd w:val="clear" w:color="auto" w:fill="F2F2F2" w:themeFill="background1" w:themeFillShade="F2"/>
            <w:vAlign w:val="bottom"/>
          </w:tcPr>
          <w:p w14:paraId="0F39475F" w14:textId="77777777" w:rsidR="006B28A2" w:rsidRDefault="006B28A2" w:rsidP="000A4C01">
            <w:pPr>
              <w:keepNext/>
              <w:keepLines/>
              <w:spacing w:before="0" w:after="0" w:line="240" w:lineRule="auto"/>
              <w:jc w:val="center"/>
              <w:rPr>
                <w:b/>
                <w:sz w:val="20"/>
              </w:rPr>
            </w:pPr>
            <w:r>
              <w:rPr>
                <w:b/>
                <w:sz w:val="20"/>
              </w:rPr>
              <w:t>Source</w:t>
            </w:r>
          </w:p>
        </w:tc>
      </w:tr>
      <w:tr w:rsidR="00C03981" w:rsidRPr="009062D0" w14:paraId="3EF08EA3" w14:textId="77777777" w:rsidTr="00DA537D">
        <w:trPr>
          <w:trHeight w:val="278"/>
        </w:trPr>
        <w:tc>
          <w:tcPr>
            <w:tcW w:w="2190" w:type="dxa"/>
            <w:vAlign w:val="center"/>
          </w:tcPr>
          <w:p w14:paraId="2D54657E" w14:textId="77777777" w:rsidR="00C03981" w:rsidRPr="009062D0" w:rsidRDefault="00C03981" w:rsidP="000A4C01">
            <w:pPr>
              <w:keepNext/>
              <w:keepLines/>
              <w:spacing w:before="0" w:after="0" w:line="240" w:lineRule="auto"/>
              <w:rPr>
                <w:sz w:val="20"/>
              </w:rPr>
            </w:pPr>
            <w:r w:rsidRPr="009062D0">
              <w:rPr>
                <w:sz w:val="20"/>
              </w:rPr>
              <w:t xml:space="preserve">NTG </w:t>
            </w:r>
            <w:r>
              <w:rPr>
                <w:sz w:val="20"/>
              </w:rPr>
              <w:t>- residential</w:t>
            </w:r>
          </w:p>
        </w:tc>
        <w:tc>
          <w:tcPr>
            <w:tcW w:w="1620" w:type="dxa"/>
            <w:shd w:val="clear" w:color="auto" w:fill="auto"/>
            <w:vAlign w:val="center"/>
          </w:tcPr>
          <w:p w14:paraId="19C660A0" w14:textId="77777777" w:rsidR="00C03981" w:rsidRPr="00E86DF6" w:rsidRDefault="00C03981" w:rsidP="000A4C01">
            <w:pPr>
              <w:keepNext/>
              <w:keepLines/>
              <w:spacing w:before="0" w:after="0" w:line="240" w:lineRule="auto"/>
              <w:jc w:val="center"/>
              <w:rPr>
                <w:sz w:val="20"/>
              </w:rPr>
            </w:pPr>
            <w:r w:rsidRPr="00E86DF6">
              <w:rPr>
                <w:sz w:val="20"/>
                <w:szCs w:val="20"/>
              </w:rPr>
              <w:t>0.55</w:t>
            </w:r>
          </w:p>
        </w:tc>
        <w:tc>
          <w:tcPr>
            <w:tcW w:w="5190" w:type="dxa"/>
            <w:vAlign w:val="center"/>
          </w:tcPr>
          <w:p w14:paraId="6A75A966" w14:textId="77777777" w:rsidR="00C03981" w:rsidRPr="00466C27" w:rsidRDefault="00C03981" w:rsidP="000A4C01">
            <w:pPr>
              <w:keepNext/>
              <w:keepLines/>
              <w:spacing w:before="0" w:after="0" w:line="240" w:lineRule="auto"/>
              <w:rPr>
                <w:rFonts w:eastAsia="Times New Roman" w:cs="Times New Roman"/>
                <w:color w:val="000000"/>
                <w:sz w:val="18"/>
                <w:szCs w:val="18"/>
                <w:highlight w:val="yellow"/>
              </w:rPr>
            </w:pPr>
            <w:proofErr w:type="spellStart"/>
            <w:r w:rsidRPr="00575E9A">
              <w:rPr>
                <w:sz w:val="18"/>
              </w:rPr>
              <w:t>Itron</w:t>
            </w:r>
            <w:proofErr w:type="spellEnd"/>
            <w:r w:rsidRPr="00575E9A">
              <w:rPr>
                <w:sz w:val="18"/>
              </w:rPr>
              <w:t xml:space="preserve">, Inc. 2011. </w:t>
            </w:r>
            <w:r w:rsidRPr="00575E9A">
              <w:rPr>
                <w:i/>
                <w:sz w:val="18"/>
              </w:rPr>
              <w:t>DEER Database 2011 Update Documentation.</w:t>
            </w:r>
            <w:r w:rsidRPr="00575E9A">
              <w:rPr>
                <w:sz w:val="18"/>
              </w:rPr>
              <w:t xml:space="preserve"> Prepared for the California Public Utilities Commission. Page 15-4 Table 15-3.</w:t>
            </w:r>
          </w:p>
        </w:tc>
      </w:tr>
    </w:tbl>
    <w:p w14:paraId="2D9CE23A" w14:textId="77777777" w:rsidR="008607C0" w:rsidRPr="00CC67A9" w:rsidRDefault="008607C0" w:rsidP="00CC67A9"/>
    <w:p w14:paraId="769F8AD5" w14:textId="77777777" w:rsidR="007D230B" w:rsidRPr="004B06E3" w:rsidRDefault="00D02C36" w:rsidP="000F1A47">
      <w:pPr>
        <w:pStyle w:val="eTRMHeading3"/>
      </w:pPr>
      <w:bookmarkStart w:id="67" w:name="_Toc486490864"/>
      <w:bookmarkStart w:id="68" w:name="_Toc486580935"/>
      <w:bookmarkStart w:id="69" w:name="_Toc2234190"/>
      <w:r>
        <w:t>Gross Savings Installation Adjustment (</w:t>
      </w:r>
      <w:r w:rsidR="007D230B" w:rsidRPr="004B06E3">
        <w:t>GSIA</w:t>
      </w:r>
      <w:bookmarkEnd w:id="67"/>
      <w:bookmarkEnd w:id="68"/>
      <w:r>
        <w:t>)</w:t>
      </w:r>
      <w:bookmarkEnd w:id="69"/>
    </w:p>
    <w:p w14:paraId="619DFD52" w14:textId="77777777" w:rsidR="00975B91" w:rsidRDefault="00975B91" w:rsidP="00975B91">
      <w:bookmarkStart w:id="70" w:name="_Ref489023909"/>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 by the utility</w:t>
      </w:r>
      <w:r w:rsidRPr="00AD00D3">
        <w:t xml:space="preserve">. </w:t>
      </w:r>
      <w:r>
        <w:t>This factor</w:t>
      </w:r>
      <w:r w:rsidRPr="00AD00D3">
        <w:t xml:space="preserve"> varies by end use, sector, technology, ap</w:t>
      </w:r>
      <w:r>
        <w:t>plication, and delivery method. This GSIA rate is the current “default” rate specified for measures for which an alternative GSIA has not been estimated and approved.</w:t>
      </w:r>
    </w:p>
    <w:p w14:paraId="050C1B05" w14:textId="77777777" w:rsidR="00975B91" w:rsidRPr="0059426D" w:rsidRDefault="00975B91" w:rsidP="007B193E">
      <w:pPr>
        <w:pStyle w:val="Caption"/>
      </w:pPr>
      <w:r>
        <w:t>Gross Savings Installation Adjustment Rates</w:t>
      </w:r>
    </w:p>
    <w:tbl>
      <w:tblPr>
        <w:tblW w:w="900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190"/>
        <w:gridCol w:w="1620"/>
        <w:gridCol w:w="5190"/>
      </w:tblGrid>
      <w:tr w:rsidR="00CD5D79" w:rsidRPr="00052C24" w14:paraId="0D80EBFD" w14:textId="77777777" w:rsidTr="00DA537D">
        <w:tc>
          <w:tcPr>
            <w:tcW w:w="2190" w:type="dxa"/>
            <w:shd w:val="clear" w:color="auto" w:fill="F2F2F2" w:themeFill="background1" w:themeFillShade="F2"/>
            <w:vAlign w:val="bottom"/>
          </w:tcPr>
          <w:p w14:paraId="3C753555" w14:textId="77777777" w:rsidR="00CD5D79" w:rsidRPr="00052C24" w:rsidRDefault="00CD5D79" w:rsidP="00975B91">
            <w:pPr>
              <w:keepNext/>
              <w:keepLines/>
              <w:spacing w:before="0" w:after="0" w:line="200" w:lineRule="atLeast"/>
              <w:jc w:val="center"/>
              <w:rPr>
                <w:b/>
                <w:sz w:val="20"/>
              </w:rPr>
            </w:pPr>
            <w:r>
              <w:rPr>
                <w:b/>
                <w:sz w:val="20"/>
              </w:rPr>
              <w:t>Parameter</w:t>
            </w:r>
          </w:p>
        </w:tc>
        <w:tc>
          <w:tcPr>
            <w:tcW w:w="1620" w:type="dxa"/>
            <w:shd w:val="clear" w:color="auto" w:fill="F2F2F2" w:themeFill="background1" w:themeFillShade="F2"/>
            <w:vAlign w:val="bottom"/>
          </w:tcPr>
          <w:p w14:paraId="778BBF4A" w14:textId="77777777" w:rsidR="00CD5D79" w:rsidRPr="00052C24" w:rsidRDefault="00CD5D79" w:rsidP="00975B91">
            <w:pPr>
              <w:keepNext/>
              <w:keepLines/>
              <w:spacing w:before="0" w:after="0" w:line="200" w:lineRule="atLeast"/>
              <w:jc w:val="center"/>
              <w:rPr>
                <w:b/>
                <w:sz w:val="20"/>
              </w:rPr>
            </w:pPr>
            <w:r>
              <w:rPr>
                <w:b/>
                <w:sz w:val="20"/>
              </w:rPr>
              <w:t>Value</w:t>
            </w:r>
          </w:p>
        </w:tc>
        <w:tc>
          <w:tcPr>
            <w:tcW w:w="5190" w:type="dxa"/>
            <w:shd w:val="clear" w:color="auto" w:fill="F2F2F2" w:themeFill="background1" w:themeFillShade="F2"/>
            <w:vAlign w:val="bottom"/>
          </w:tcPr>
          <w:p w14:paraId="473669AD" w14:textId="77777777" w:rsidR="00CD5D79" w:rsidRDefault="00CD5D79" w:rsidP="00975B91">
            <w:pPr>
              <w:keepNext/>
              <w:keepLines/>
              <w:spacing w:before="0" w:after="0" w:line="200" w:lineRule="atLeast"/>
              <w:jc w:val="center"/>
              <w:rPr>
                <w:b/>
                <w:sz w:val="20"/>
              </w:rPr>
            </w:pPr>
            <w:r>
              <w:rPr>
                <w:b/>
                <w:sz w:val="20"/>
              </w:rPr>
              <w:t>Source</w:t>
            </w:r>
          </w:p>
        </w:tc>
      </w:tr>
      <w:tr w:rsidR="00CD5D79" w:rsidRPr="009062D0" w14:paraId="6DEBE6DC" w14:textId="77777777" w:rsidTr="00DA537D">
        <w:trPr>
          <w:trHeight w:val="260"/>
        </w:trPr>
        <w:tc>
          <w:tcPr>
            <w:tcW w:w="2190" w:type="dxa"/>
            <w:vAlign w:val="center"/>
          </w:tcPr>
          <w:p w14:paraId="25EA1018" w14:textId="77777777" w:rsidR="00CD5D79" w:rsidRPr="009062D0" w:rsidRDefault="00CD5D79" w:rsidP="00975B91">
            <w:pPr>
              <w:keepNext/>
              <w:keepLines/>
              <w:spacing w:before="0" w:after="0" w:line="200" w:lineRule="atLeast"/>
              <w:rPr>
                <w:sz w:val="20"/>
              </w:rPr>
            </w:pPr>
            <w:r>
              <w:rPr>
                <w:sz w:val="20"/>
              </w:rPr>
              <w:t>GSIA</w:t>
            </w:r>
          </w:p>
        </w:tc>
        <w:tc>
          <w:tcPr>
            <w:tcW w:w="1620" w:type="dxa"/>
            <w:shd w:val="clear" w:color="auto" w:fill="auto"/>
            <w:vAlign w:val="center"/>
          </w:tcPr>
          <w:p w14:paraId="1F7831A0" w14:textId="77777777" w:rsidR="00CD5D79" w:rsidRPr="00E86DF6" w:rsidRDefault="00CD5D79" w:rsidP="00975B91">
            <w:pPr>
              <w:keepNext/>
              <w:keepLines/>
              <w:spacing w:before="0" w:after="0" w:line="200" w:lineRule="atLeast"/>
              <w:jc w:val="center"/>
              <w:rPr>
                <w:sz w:val="20"/>
              </w:rPr>
            </w:pPr>
            <w:r w:rsidRPr="00E86DF6">
              <w:rPr>
                <w:sz w:val="20"/>
                <w:szCs w:val="20"/>
              </w:rPr>
              <w:t>1.0</w:t>
            </w:r>
          </w:p>
        </w:tc>
        <w:tc>
          <w:tcPr>
            <w:tcW w:w="5190" w:type="dxa"/>
            <w:vAlign w:val="center"/>
          </w:tcPr>
          <w:p w14:paraId="611496D9" w14:textId="77777777" w:rsidR="00CD5D79" w:rsidRPr="009062D0" w:rsidRDefault="00CD5D79" w:rsidP="00975B91">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0E047292" w14:textId="77777777" w:rsidR="00975B91" w:rsidRDefault="00975B91" w:rsidP="00975B91">
      <w:pPr>
        <w:rPr>
          <w:rFonts w:cs="Arial"/>
          <w:sz w:val="20"/>
          <w:szCs w:val="20"/>
        </w:rPr>
      </w:pPr>
    </w:p>
    <w:p w14:paraId="5BAC0D33" w14:textId="77777777" w:rsidR="002C67DF" w:rsidRPr="004B06E3" w:rsidRDefault="002C67DF" w:rsidP="000F1A47">
      <w:pPr>
        <w:pStyle w:val="eTRMHeading3"/>
      </w:pPr>
      <w:bookmarkStart w:id="71" w:name="_Toc486490865"/>
      <w:bookmarkStart w:id="72" w:name="_Toc486580936"/>
      <w:bookmarkStart w:id="73" w:name="_Toc2234191"/>
      <w:bookmarkEnd w:id="70"/>
      <w:r w:rsidRPr="004B06E3">
        <w:t xml:space="preserve">Non-Energy </w:t>
      </w:r>
      <w:bookmarkEnd w:id="71"/>
      <w:bookmarkEnd w:id="72"/>
      <w:r w:rsidR="00975B91">
        <w:t>Impacts</w:t>
      </w:r>
      <w:bookmarkEnd w:id="73"/>
    </w:p>
    <w:p w14:paraId="72834646" w14:textId="77777777" w:rsidR="00975B91" w:rsidRDefault="00975B91" w:rsidP="00975B91">
      <w:r>
        <w:t>Non-energy impacts for this measure have not been quantified.</w:t>
      </w:r>
    </w:p>
    <w:p w14:paraId="312BE916" w14:textId="77777777" w:rsidR="009C31A4" w:rsidRPr="004B06E3" w:rsidRDefault="009C31A4" w:rsidP="004142EF"/>
    <w:p w14:paraId="7C99BBFE" w14:textId="77777777" w:rsidR="009C31A4" w:rsidRPr="004B06E3" w:rsidRDefault="009C31A4" w:rsidP="000F1A47">
      <w:pPr>
        <w:pStyle w:val="eTRMHeading3"/>
      </w:pPr>
      <w:bookmarkStart w:id="74" w:name="_Toc2234192"/>
      <w:r>
        <w:t>DEER Differences Analysis</w:t>
      </w:r>
      <w:bookmarkEnd w:id="74"/>
    </w:p>
    <w:p w14:paraId="30CDF8A9" w14:textId="77777777" w:rsidR="00E16E6B" w:rsidRPr="001E3A20" w:rsidRDefault="00376715" w:rsidP="00171CCA">
      <w:r>
        <w:t>This section provides a summary of DEER-based inputs and methods, and the rationale for inputs and methods that are not DEER-based.</w:t>
      </w:r>
      <w:r w:rsidR="00171CCA">
        <w:t xml:space="preserve"> </w:t>
      </w:r>
      <w:r w:rsidR="007B7BD7" w:rsidRPr="001A08D7">
        <w:t>This work paper uses data from DEER 201</w:t>
      </w:r>
      <w:r w:rsidR="007B7BD7">
        <w:t>7,</w:t>
      </w:r>
      <w:r w:rsidR="007B7BD7" w:rsidRPr="001A08D7">
        <w:t xml:space="preserve"> which lists data for </w:t>
      </w:r>
      <w:r w:rsidR="003A58B4">
        <w:t>a Heat Pump Water Heater</w:t>
      </w:r>
      <w:r w:rsidR="007B7BD7">
        <w:t xml:space="preserve"> (</w:t>
      </w:r>
      <w:r w:rsidR="007B7BD7" w:rsidRPr="001A08D7">
        <w:t>HPWH</w:t>
      </w:r>
      <w:r w:rsidR="007B7BD7">
        <w:t>)</w:t>
      </w:r>
      <w:r w:rsidR="007B7BD7" w:rsidRPr="001A08D7">
        <w:t xml:space="preserve"> </w:t>
      </w:r>
      <w:r w:rsidR="003A58B4">
        <w:t>that replaces</w:t>
      </w:r>
      <w:r w:rsidR="007B7BD7" w:rsidRPr="001A08D7">
        <w:t xml:space="preserve"> a base case </w:t>
      </w:r>
      <w:r w:rsidR="003A58B4">
        <w:t>Electric Storage Water Heater</w:t>
      </w:r>
      <w:r w:rsidR="007B7BD7">
        <w:t xml:space="preserve"> (</w:t>
      </w:r>
      <w:r w:rsidR="007B7BD7" w:rsidRPr="001A08D7">
        <w:t>ESWH</w:t>
      </w:r>
      <w:r w:rsidR="007B7BD7">
        <w:t>s).</w:t>
      </w:r>
      <w:r w:rsidR="00751772">
        <w:t xml:space="preserve"> DEER peak </w:t>
      </w:r>
      <w:r w:rsidR="005A5CA0">
        <w:t xml:space="preserve">demand </w:t>
      </w:r>
      <w:r w:rsidR="00751772">
        <w:t xml:space="preserve">savings were modified </w:t>
      </w:r>
      <w:r w:rsidR="005A5CA0">
        <w:t>to reflect the change in DEER peak starting in 2020</w:t>
      </w:r>
      <w:r w:rsidR="00751772">
        <w:t>.</w:t>
      </w:r>
    </w:p>
    <w:p w14:paraId="68C928C2" w14:textId="77777777" w:rsidR="00EA057C" w:rsidRPr="00920905" w:rsidRDefault="00EA057C" w:rsidP="007B193E">
      <w:pPr>
        <w:pStyle w:val="Caption"/>
      </w:pPr>
      <w:r w:rsidRPr="00920905">
        <w:lastRenderedPageBreak/>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1B5F68B9" w14:textId="77777777" w:rsidTr="00EA057C">
        <w:trPr>
          <w:trHeight w:val="20"/>
        </w:trPr>
        <w:tc>
          <w:tcPr>
            <w:tcW w:w="1730" w:type="pct"/>
            <w:shd w:val="clear" w:color="auto" w:fill="F2F2F2" w:themeFill="background1" w:themeFillShade="F2"/>
          </w:tcPr>
          <w:p w14:paraId="082D919E" w14:textId="77777777" w:rsidR="00EA057C" w:rsidRPr="00EA057C" w:rsidRDefault="00EA057C" w:rsidP="00EA057C">
            <w:pPr>
              <w:keepNext/>
              <w:keepLines/>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7380688" w14:textId="77777777" w:rsidR="00EA057C" w:rsidRPr="00EA057C" w:rsidRDefault="00EA057C" w:rsidP="00EA057C">
            <w:pPr>
              <w:keepNext/>
              <w:keepLines/>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7743C7" w:rsidRPr="00500C4E" w14:paraId="051A506A" w14:textId="77777777" w:rsidTr="00EA057C">
        <w:trPr>
          <w:trHeight w:val="20"/>
        </w:trPr>
        <w:tc>
          <w:tcPr>
            <w:tcW w:w="1730" w:type="pct"/>
          </w:tcPr>
          <w:p w14:paraId="36414877" w14:textId="77777777" w:rsidR="007743C7" w:rsidRPr="00EA057C" w:rsidRDefault="007743C7" w:rsidP="00EA057C">
            <w:pPr>
              <w:keepNext/>
              <w:keepLines/>
              <w:spacing w:before="20" w:after="20"/>
              <w:rPr>
                <w:rFonts w:cs="Arial"/>
                <w:sz w:val="20"/>
                <w:szCs w:val="20"/>
              </w:rPr>
            </w:pPr>
            <w:r w:rsidRPr="00EA057C">
              <w:rPr>
                <w:rFonts w:cs="Arial"/>
                <w:sz w:val="20"/>
                <w:szCs w:val="20"/>
              </w:rPr>
              <w:t>Modified DEER methodology</w:t>
            </w:r>
          </w:p>
        </w:tc>
        <w:tc>
          <w:tcPr>
            <w:tcW w:w="3270" w:type="pct"/>
          </w:tcPr>
          <w:p w14:paraId="0185CD1C" w14:textId="77777777" w:rsidR="007743C7" w:rsidRPr="007B7BD7" w:rsidRDefault="00DE7468" w:rsidP="00EA057C">
            <w:pPr>
              <w:keepNext/>
              <w:keepLines/>
              <w:spacing w:before="20" w:after="20"/>
              <w:rPr>
                <w:rFonts w:cs="Arial"/>
                <w:b/>
                <w:sz w:val="20"/>
                <w:szCs w:val="20"/>
              </w:rPr>
            </w:pPr>
            <w:r>
              <w:rPr>
                <w:rFonts w:cs="Arial"/>
                <w:sz w:val="20"/>
                <w:szCs w:val="20"/>
              </w:rPr>
              <w:t>Yes</w:t>
            </w:r>
            <w:r w:rsidR="007D1CA0">
              <w:rPr>
                <w:rFonts w:cs="Arial"/>
                <w:sz w:val="20"/>
                <w:szCs w:val="20"/>
              </w:rPr>
              <w:t xml:space="preserve"> (Adjusted for 2020 peak demand period)</w:t>
            </w:r>
          </w:p>
        </w:tc>
      </w:tr>
      <w:tr w:rsidR="00EA057C" w:rsidRPr="00500C4E" w14:paraId="638A4C7F" w14:textId="77777777" w:rsidTr="00EA057C">
        <w:trPr>
          <w:trHeight w:val="20"/>
        </w:trPr>
        <w:tc>
          <w:tcPr>
            <w:tcW w:w="1730" w:type="pct"/>
          </w:tcPr>
          <w:p w14:paraId="5D8BB08C" w14:textId="77777777" w:rsidR="00EA057C" w:rsidRPr="00EA057C" w:rsidRDefault="00EA057C" w:rsidP="00EA057C">
            <w:pPr>
              <w:keepNext/>
              <w:keepLines/>
              <w:spacing w:before="20" w:after="20"/>
              <w:rPr>
                <w:rFonts w:cs="Arial"/>
                <w:sz w:val="20"/>
                <w:szCs w:val="20"/>
              </w:rPr>
            </w:pPr>
            <w:r w:rsidRPr="00EA057C">
              <w:rPr>
                <w:rFonts w:cs="Arial"/>
                <w:sz w:val="20"/>
                <w:szCs w:val="20"/>
              </w:rPr>
              <w:t>Scaled DEER measure</w:t>
            </w:r>
          </w:p>
        </w:tc>
        <w:tc>
          <w:tcPr>
            <w:tcW w:w="3270" w:type="pct"/>
          </w:tcPr>
          <w:p w14:paraId="5300DF7B" w14:textId="77777777" w:rsidR="00EA057C" w:rsidRPr="007B7BD7" w:rsidRDefault="007743C7" w:rsidP="007743C7">
            <w:pPr>
              <w:keepNext/>
              <w:keepLines/>
              <w:spacing w:before="20" w:after="20"/>
              <w:rPr>
                <w:rFonts w:cs="Arial"/>
                <w:sz w:val="20"/>
                <w:szCs w:val="20"/>
              </w:rPr>
            </w:pPr>
            <w:r w:rsidRPr="007B7BD7">
              <w:rPr>
                <w:rFonts w:cs="Arial"/>
                <w:sz w:val="20"/>
                <w:szCs w:val="20"/>
              </w:rPr>
              <w:t>No</w:t>
            </w:r>
          </w:p>
        </w:tc>
      </w:tr>
      <w:tr w:rsidR="00EA057C" w:rsidRPr="00500C4E" w14:paraId="053377DB" w14:textId="77777777" w:rsidTr="00EA057C">
        <w:trPr>
          <w:trHeight w:val="20"/>
        </w:trPr>
        <w:tc>
          <w:tcPr>
            <w:tcW w:w="1730" w:type="pct"/>
          </w:tcPr>
          <w:p w14:paraId="4BA583AB" w14:textId="77777777" w:rsidR="00EA057C" w:rsidRPr="00EA057C" w:rsidRDefault="00EA057C" w:rsidP="00EA057C">
            <w:pPr>
              <w:keepNext/>
              <w:keepLines/>
              <w:spacing w:before="20" w:after="20"/>
              <w:rPr>
                <w:rFonts w:cs="Arial"/>
                <w:sz w:val="20"/>
                <w:szCs w:val="20"/>
              </w:rPr>
            </w:pPr>
            <w:r w:rsidRPr="00EA057C">
              <w:rPr>
                <w:rFonts w:cs="Arial"/>
                <w:sz w:val="20"/>
                <w:szCs w:val="20"/>
              </w:rPr>
              <w:t>DEER Base Case</w:t>
            </w:r>
          </w:p>
        </w:tc>
        <w:tc>
          <w:tcPr>
            <w:tcW w:w="3270" w:type="pct"/>
          </w:tcPr>
          <w:p w14:paraId="27B927AA" w14:textId="77777777" w:rsidR="00EA057C" w:rsidRPr="007B7BD7" w:rsidRDefault="007743C7" w:rsidP="00EA057C">
            <w:pPr>
              <w:keepNext/>
              <w:keepLines/>
              <w:spacing w:before="20" w:after="20"/>
              <w:rPr>
                <w:rFonts w:cs="Arial"/>
                <w:sz w:val="20"/>
                <w:szCs w:val="20"/>
              </w:rPr>
            </w:pPr>
            <w:r w:rsidRPr="007B7BD7">
              <w:rPr>
                <w:rFonts w:cs="Arial"/>
                <w:sz w:val="20"/>
                <w:szCs w:val="20"/>
              </w:rPr>
              <w:t>Yes</w:t>
            </w:r>
          </w:p>
        </w:tc>
      </w:tr>
      <w:tr w:rsidR="00EA057C" w:rsidRPr="00500C4E" w14:paraId="065D0A58" w14:textId="77777777" w:rsidTr="00EA057C">
        <w:trPr>
          <w:trHeight w:val="20"/>
        </w:trPr>
        <w:tc>
          <w:tcPr>
            <w:tcW w:w="1730" w:type="pct"/>
          </w:tcPr>
          <w:p w14:paraId="2289D0E5" w14:textId="77777777" w:rsidR="00EA057C" w:rsidRPr="00EA057C" w:rsidRDefault="00EA057C" w:rsidP="00EA057C">
            <w:pPr>
              <w:keepNext/>
              <w:keepLines/>
              <w:spacing w:before="20" w:after="20"/>
              <w:rPr>
                <w:rFonts w:cs="Arial"/>
                <w:sz w:val="20"/>
                <w:szCs w:val="20"/>
              </w:rPr>
            </w:pPr>
            <w:r w:rsidRPr="00EA057C">
              <w:rPr>
                <w:rFonts w:cs="Arial"/>
                <w:sz w:val="20"/>
                <w:szCs w:val="20"/>
              </w:rPr>
              <w:t>DEER Measure Case</w:t>
            </w:r>
          </w:p>
        </w:tc>
        <w:tc>
          <w:tcPr>
            <w:tcW w:w="3270" w:type="pct"/>
          </w:tcPr>
          <w:p w14:paraId="1C1FADD8" w14:textId="77777777" w:rsidR="00EA057C" w:rsidRPr="007B7BD7" w:rsidRDefault="007743C7" w:rsidP="00EA057C">
            <w:pPr>
              <w:keepNext/>
              <w:keepLines/>
              <w:spacing w:before="20" w:after="20"/>
              <w:rPr>
                <w:rFonts w:cs="Arial"/>
                <w:sz w:val="20"/>
                <w:szCs w:val="20"/>
              </w:rPr>
            </w:pPr>
            <w:r w:rsidRPr="007B7BD7">
              <w:rPr>
                <w:rFonts w:cs="Arial"/>
                <w:sz w:val="20"/>
                <w:szCs w:val="20"/>
              </w:rPr>
              <w:t>Yes</w:t>
            </w:r>
          </w:p>
        </w:tc>
      </w:tr>
      <w:tr w:rsidR="00EA057C" w:rsidRPr="00500C4E" w14:paraId="70E82748" w14:textId="77777777" w:rsidTr="00EA057C">
        <w:trPr>
          <w:trHeight w:val="20"/>
        </w:trPr>
        <w:tc>
          <w:tcPr>
            <w:tcW w:w="1730" w:type="pct"/>
          </w:tcPr>
          <w:p w14:paraId="3A628166" w14:textId="77777777" w:rsidR="00EA057C" w:rsidRPr="00EA057C" w:rsidRDefault="00EA057C" w:rsidP="00EA057C">
            <w:pPr>
              <w:keepNext/>
              <w:keepLines/>
              <w:spacing w:before="20" w:after="20"/>
              <w:rPr>
                <w:rFonts w:cs="Arial"/>
                <w:sz w:val="20"/>
                <w:szCs w:val="20"/>
              </w:rPr>
            </w:pPr>
            <w:r w:rsidRPr="00EA057C">
              <w:rPr>
                <w:rFonts w:cs="Arial"/>
                <w:sz w:val="20"/>
                <w:szCs w:val="20"/>
              </w:rPr>
              <w:t>DEER Building Types</w:t>
            </w:r>
          </w:p>
        </w:tc>
        <w:tc>
          <w:tcPr>
            <w:tcW w:w="3270" w:type="pct"/>
          </w:tcPr>
          <w:p w14:paraId="700AFF11" w14:textId="77777777" w:rsidR="00EA057C" w:rsidRPr="007B7BD7" w:rsidRDefault="007743C7" w:rsidP="00EA057C">
            <w:pPr>
              <w:keepNext/>
              <w:keepLines/>
              <w:spacing w:before="20" w:after="20"/>
              <w:rPr>
                <w:rFonts w:cs="Arial"/>
                <w:sz w:val="20"/>
                <w:szCs w:val="20"/>
              </w:rPr>
            </w:pPr>
            <w:r w:rsidRPr="007B7BD7">
              <w:rPr>
                <w:rFonts w:cs="Arial"/>
                <w:sz w:val="20"/>
                <w:szCs w:val="20"/>
              </w:rPr>
              <w:t>Yes</w:t>
            </w:r>
          </w:p>
        </w:tc>
      </w:tr>
      <w:tr w:rsidR="007743C7" w:rsidRPr="00500C4E" w14:paraId="12C4645C" w14:textId="77777777" w:rsidTr="00EA057C">
        <w:trPr>
          <w:trHeight w:val="20"/>
        </w:trPr>
        <w:tc>
          <w:tcPr>
            <w:tcW w:w="1730" w:type="pct"/>
          </w:tcPr>
          <w:p w14:paraId="1537FBF5" w14:textId="77777777" w:rsidR="007743C7" w:rsidRPr="00EA057C" w:rsidRDefault="007743C7" w:rsidP="00EA057C">
            <w:pPr>
              <w:keepNext/>
              <w:keepLines/>
              <w:spacing w:before="20" w:after="20"/>
              <w:rPr>
                <w:rFonts w:cs="Arial"/>
                <w:sz w:val="20"/>
                <w:szCs w:val="20"/>
              </w:rPr>
            </w:pPr>
            <w:r w:rsidRPr="00EA057C">
              <w:rPr>
                <w:rFonts w:cs="Arial"/>
                <w:sz w:val="20"/>
                <w:szCs w:val="20"/>
              </w:rPr>
              <w:t>DEER Operating Hours</w:t>
            </w:r>
          </w:p>
        </w:tc>
        <w:tc>
          <w:tcPr>
            <w:tcW w:w="3270" w:type="pct"/>
          </w:tcPr>
          <w:p w14:paraId="1FC990CA" w14:textId="77777777" w:rsidR="007743C7" w:rsidRPr="007B7BD7" w:rsidRDefault="007743C7" w:rsidP="00EA057C">
            <w:pPr>
              <w:keepNext/>
              <w:keepLines/>
              <w:spacing w:before="20" w:after="20"/>
              <w:rPr>
                <w:rFonts w:cs="Arial"/>
                <w:sz w:val="20"/>
                <w:szCs w:val="20"/>
              </w:rPr>
            </w:pPr>
            <w:r w:rsidRPr="007B7BD7">
              <w:rPr>
                <w:rFonts w:cs="Arial"/>
                <w:sz w:val="20"/>
                <w:szCs w:val="20"/>
              </w:rPr>
              <w:t>No</w:t>
            </w:r>
          </w:p>
        </w:tc>
      </w:tr>
      <w:tr w:rsidR="007743C7" w:rsidRPr="00500C4E" w14:paraId="24A98250" w14:textId="77777777" w:rsidTr="00EA057C">
        <w:trPr>
          <w:trHeight w:val="20"/>
        </w:trPr>
        <w:tc>
          <w:tcPr>
            <w:tcW w:w="1730" w:type="pct"/>
          </w:tcPr>
          <w:p w14:paraId="134AE222" w14:textId="77777777" w:rsidR="007743C7" w:rsidRPr="00EA057C" w:rsidRDefault="007743C7" w:rsidP="00EA057C">
            <w:pPr>
              <w:keepNext/>
              <w:keepLines/>
              <w:spacing w:before="20" w:after="20"/>
              <w:rPr>
                <w:rFonts w:cs="Arial"/>
                <w:sz w:val="20"/>
                <w:szCs w:val="20"/>
              </w:rPr>
            </w:pPr>
            <w:r w:rsidRPr="00EA057C">
              <w:rPr>
                <w:rFonts w:cs="Arial"/>
                <w:sz w:val="20"/>
                <w:szCs w:val="20"/>
              </w:rPr>
              <w:t xml:space="preserve">DEER </w:t>
            </w:r>
            <w:proofErr w:type="spellStart"/>
            <w:r w:rsidRPr="00EA057C">
              <w:rPr>
                <w:rFonts w:cs="Arial"/>
                <w:sz w:val="20"/>
                <w:szCs w:val="20"/>
              </w:rPr>
              <w:t>eQUEST</w:t>
            </w:r>
            <w:proofErr w:type="spellEnd"/>
            <w:r w:rsidRPr="00EA057C">
              <w:rPr>
                <w:rFonts w:cs="Arial"/>
                <w:sz w:val="20"/>
                <w:szCs w:val="20"/>
              </w:rPr>
              <w:t xml:space="preserve"> Prototypes</w:t>
            </w:r>
          </w:p>
        </w:tc>
        <w:tc>
          <w:tcPr>
            <w:tcW w:w="3270" w:type="pct"/>
          </w:tcPr>
          <w:p w14:paraId="3AD1FB7B" w14:textId="77777777" w:rsidR="007743C7" w:rsidRPr="007B7BD7" w:rsidDel="00505CEC" w:rsidRDefault="007743C7" w:rsidP="00EA057C">
            <w:pPr>
              <w:keepNext/>
              <w:keepLines/>
              <w:spacing w:before="20" w:after="20"/>
              <w:rPr>
                <w:rFonts w:cs="Arial"/>
                <w:sz w:val="20"/>
                <w:szCs w:val="20"/>
              </w:rPr>
            </w:pPr>
            <w:r w:rsidRPr="007B7BD7">
              <w:rPr>
                <w:rFonts w:cs="Arial"/>
                <w:sz w:val="20"/>
                <w:szCs w:val="20"/>
              </w:rPr>
              <w:t>No</w:t>
            </w:r>
          </w:p>
        </w:tc>
      </w:tr>
      <w:tr w:rsidR="00EA057C" w:rsidRPr="00500C4E" w14:paraId="193C5E6B" w14:textId="77777777" w:rsidTr="00EA057C">
        <w:trPr>
          <w:trHeight w:val="180"/>
        </w:trPr>
        <w:tc>
          <w:tcPr>
            <w:tcW w:w="1730" w:type="pct"/>
          </w:tcPr>
          <w:p w14:paraId="15F90EBB" w14:textId="77777777" w:rsidR="00EA057C" w:rsidRPr="00EA057C" w:rsidRDefault="00EA057C" w:rsidP="00EA057C">
            <w:pPr>
              <w:keepNext/>
              <w:keepLines/>
              <w:spacing w:before="20" w:after="20"/>
              <w:rPr>
                <w:rFonts w:cs="Arial"/>
                <w:sz w:val="20"/>
                <w:szCs w:val="20"/>
              </w:rPr>
            </w:pPr>
            <w:r w:rsidRPr="00EA057C">
              <w:rPr>
                <w:rFonts w:cs="Arial"/>
                <w:sz w:val="20"/>
                <w:szCs w:val="20"/>
              </w:rPr>
              <w:t>DEER Version</w:t>
            </w:r>
          </w:p>
        </w:tc>
        <w:tc>
          <w:tcPr>
            <w:tcW w:w="3270" w:type="pct"/>
          </w:tcPr>
          <w:p w14:paraId="0EB6E358" w14:textId="77777777" w:rsidR="00EA057C" w:rsidRPr="007B7BD7" w:rsidRDefault="007743C7" w:rsidP="00EA057C">
            <w:pPr>
              <w:keepNext/>
              <w:keepLines/>
              <w:spacing w:before="20" w:after="20"/>
              <w:rPr>
                <w:rFonts w:cs="Arial"/>
                <w:sz w:val="20"/>
                <w:szCs w:val="20"/>
              </w:rPr>
            </w:pPr>
            <w:r w:rsidRPr="007B7BD7">
              <w:rPr>
                <w:rFonts w:cs="Arial"/>
                <w:sz w:val="20"/>
                <w:szCs w:val="20"/>
              </w:rPr>
              <w:t>DEER 2017 READI v2.</w:t>
            </w:r>
            <w:r w:rsidR="005924E9">
              <w:rPr>
                <w:rFonts w:cs="Arial"/>
                <w:sz w:val="20"/>
                <w:szCs w:val="20"/>
              </w:rPr>
              <w:t>5.1</w:t>
            </w:r>
          </w:p>
        </w:tc>
      </w:tr>
      <w:tr w:rsidR="00EA057C" w:rsidRPr="00500C4E" w14:paraId="0DC6AA94" w14:textId="77777777" w:rsidTr="00EA057C">
        <w:trPr>
          <w:trHeight w:val="20"/>
        </w:trPr>
        <w:tc>
          <w:tcPr>
            <w:tcW w:w="1730" w:type="pct"/>
          </w:tcPr>
          <w:p w14:paraId="3BFEF23B" w14:textId="77777777" w:rsidR="00EA057C" w:rsidRPr="00EA057C" w:rsidRDefault="00EA057C" w:rsidP="00EA057C">
            <w:pPr>
              <w:keepNext/>
              <w:keepLines/>
              <w:spacing w:before="20" w:after="20"/>
              <w:rPr>
                <w:rFonts w:cs="Arial"/>
                <w:sz w:val="20"/>
                <w:szCs w:val="20"/>
              </w:rPr>
            </w:pPr>
            <w:r w:rsidRPr="00EA057C">
              <w:rPr>
                <w:rFonts w:cs="Arial"/>
                <w:sz w:val="20"/>
                <w:szCs w:val="20"/>
              </w:rPr>
              <w:t>Reason for Deviation from DEER</w:t>
            </w:r>
          </w:p>
        </w:tc>
        <w:tc>
          <w:tcPr>
            <w:tcW w:w="3270" w:type="pct"/>
          </w:tcPr>
          <w:p w14:paraId="3E9FA696" w14:textId="77777777" w:rsidR="00EA057C" w:rsidRPr="007B7BD7" w:rsidRDefault="00751772" w:rsidP="00EA057C">
            <w:pPr>
              <w:keepNext/>
              <w:keepLines/>
              <w:spacing w:before="20" w:after="20"/>
              <w:rPr>
                <w:rFonts w:cs="Arial"/>
                <w:sz w:val="20"/>
                <w:szCs w:val="20"/>
              </w:rPr>
            </w:pPr>
            <w:r>
              <w:rPr>
                <w:rFonts w:cs="Arial"/>
                <w:sz w:val="20"/>
                <w:szCs w:val="20"/>
              </w:rPr>
              <w:t>Peak demand updates</w:t>
            </w:r>
          </w:p>
        </w:tc>
      </w:tr>
      <w:tr w:rsidR="00EA057C" w:rsidRPr="00500C4E" w14:paraId="4B4A90AA" w14:textId="77777777" w:rsidTr="00EA057C">
        <w:trPr>
          <w:trHeight w:val="20"/>
        </w:trPr>
        <w:tc>
          <w:tcPr>
            <w:tcW w:w="1730" w:type="pct"/>
          </w:tcPr>
          <w:p w14:paraId="198A9A54" w14:textId="77777777" w:rsidR="00EA057C" w:rsidRPr="00EA057C" w:rsidRDefault="00EA057C" w:rsidP="00EA057C">
            <w:pPr>
              <w:keepNext/>
              <w:keepLines/>
              <w:spacing w:before="20" w:after="20"/>
              <w:rPr>
                <w:rFonts w:cs="Arial"/>
                <w:sz w:val="20"/>
                <w:szCs w:val="20"/>
              </w:rPr>
            </w:pPr>
            <w:r w:rsidRPr="00EA057C">
              <w:rPr>
                <w:rFonts w:cs="Arial"/>
                <w:sz w:val="20"/>
                <w:szCs w:val="20"/>
              </w:rPr>
              <w:t>DEER Measure IDs Used</w:t>
            </w:r>
          </w:p>
        </w:tc>
        <w:tc>
          <w:tcPr>
            <w:tcW w:w="3270" w:type="pct"/>
          </w:tcPr>
          <w:p w14:paraId="754F4295" w14:textId="77777777" w:rsidR="001F75B0" w:rsidRPr="00EE45C0" w:rsidRDefault="001F75B0" w:rsidP="001F75B0">
            <w:pPr>
              <w:spacing w:before="0" w:after="0" w:line="240" w:lineRule="auto"/>
              <w:rPr>
                <w:rFonts w:cs="Calibri Light"/>
                <w:sz w:val="20"/>
                <w:szCs w:val="20"/>
              </w:rPr>
            </w:pPr>
            <w:r w:rsidRPr="00EE45C0">
              <w:rPr>
                <w:rFonts w:cs="Calibri Light"/>
                <w:color w:val="000000"/>
                <w:sz w:val="20"/>
                <w:szCs w:val="20"/>
              </w:rPr>
              <w:t>RE-WtrHt-SmlStrg-HP-lte12kW-rep30G-3p24EF</w:t>
            </w:r>
          </w:p>
          <w:p w14:paraId="7CBA4590" w14:textId="77777777" w:rsidR="001F75B0" w:rsidRPr="00EE45C0" w:rsidRDefault="001F75B0" w:rsidP="001F75B0">
            <w:pPr>
              <w:spacing w:before="0" w:after="0" w:line="240" w:lineRule="auto"/>
              <w:rPr>
                <w:rFonts w:cs="Calibri Light"/>
                <w:sz w:val="20"/>
                <w:szCs w:val="20"/>
              </w:rPr>
            </w:pPr>
            <w:r w:rsidRPr="00EE45C0">
              <w:rPr>
                <w:rFonts w:cs="Calibri Light"/>
                <w:color w:val="000000"/>
                <w:sz w:val="20"/>
                <w:szCs w:val="20"/>
              </w:rPr>
              <w:t>RE-WtrHt-SmlStrg-HP-lte12kW-rep30G-3p50EF</w:t>
            </w:r>
          </w:p>
          <w:p w14:paraId="110B93D6" w14:textId="77777777" w:rsidR="001F75B0" w:rsidRPr="00EE45C0" w:rsidRDefault="001F75B0" w:rsidP="001F75B0">
            <w:pPr>
              <w:spacing w:before="0" w:after="0" w:line="240" w:lineRule="auto"/>
              <w:rPr>
                <w:rFonts w:cs="Calibri Light"/>
                <w:sz w:val="20"/>
                <w:szCs w:val="20"/>
              </w:rPr>
            </w:pPr>
            <w:r w:rsidRPr="00EE45C0">
              <w:rPr>
                <w:rFonts w:cs="Calibri Light"/>
                <w:color w:val="000000"/>
                <w:sz w:val="20"/>
                <w:szCs w:val="20"/>
              </w:rPr>
              <w:t>RE-WtrHt-SmlStrg-HP-lte12kW-rep40G-3p24EF</w:t>
            </w:r>
          </w:p>
          <w:p w14:paraId="0433293A" w14:textId="77777777" w:rsidR="001F75B0" w:rsidRPr="00EE45C0" w:rsidRDefault="001F75B0" w:rsidP="001F75B0">
            <w:pPr>
              <w:spacing w:before="0" w:after="0" w:line="240" w:lineRule="auto"/>
              <w:rPr>
                <w:rFonts w:eastAsia="Calibri Light" w:cs="Calibri Light"/>
                <w:sz w:val="20"/>
                <w:szCs w:val="20"/>
              </w:rPr>
            </w:pPr>
            <w:r w:rsidRPr="00EE45C0">
              <w:rPr>
                <w:rFonts w:cs="Calibri Light"/>
                <w:color w:val="000000"/>
                <w:sz w:val="20"/>
                <w:szCs w:val="20"/>
              </w:rPr>
              <w:t>RE-WtrHt-SmlStrg-HP-lte12kW-rep40G-3p50EF</w:t>
            </w:r>
          </w:p>
          <w:p w14:paraId="39C13730" w14:textId="77777777" w:rsidR="001F75B0" w:rsidRPr="00EE45C0" w:rsidRDefault="001F75B0" w:rsidP="001F75B0">
            <w:pPr>
              <w:spacing w:before="0" w:after="0" w:line="240" w:lineRule="auto"/>
              <w:rPr>
                <w:rFonts w:cs="Calibri Light"/>
                <w:sz w:val="20"/>
                <w:szCs w:val="20"/>
              </w:rPr>
            </w:pPr>
            <w:r w:rsidRPr="00EE45C0">
              <w:rPr>
                <w:rFonts w:cs="Calibri Light"/>
                <w:color w:val="000000"/>
                <w:sz w:val="20"/>
                <w:szCs w:val="20"/>
              </w:rPr>
              <w:t>RE-WtrHt-SmlStrg-HP-lte12kW-rep50G-3p24EF</w:t>
            </w:r>
          </w:p>
          <w:p w14:paraId="446F1137" w14:textId="77777777" w:rsidR="001F75B0" w:rsidRPr="00EE45C0" w:rsidRDefault="001F75B0" w:rsidP="001F75B0">
            <w:pPr>
              <w:spacing w:before="0" w:after="0" w:line="240" w:lineRule="auto"/>
              <w:rPr>
                <w:rFonts w:cs="Calibri Light"/>
                <w:sz w:val="20"/>
                <w:szCs w:val="20"/>
              </w:rPr>
            </w:pPr>
            <w:r w:rsidRPr="00EE45C0">
              <w:rPr>
                <w:rFonts w:cs="Calibri Light"/>
                <w:color w:val="000000"/>
                <w:sz w:val="20"/>
                <w:szCs w:val="20"/>
              </w:rPr>
              <w:t>RE-WtrHt-SmlStrg-HP-lte12kW-rep50G-3p50EF</w:t>
            </w:r>
          </w:p>
          <w:p w14:paraId="73F45095" w14:textId="77777777" w:rsidR="001F75B0" w:rsidRPr="00EE45C0" w:rsidRDefault="001F75B0" w:rsidP="001F75B0">
            <w:pPr>
              <w:spacing w:before="0" w:after="0" w:line="240" w:lineRule="auto"/>
              <w:rPr>
                <w:rFonts w:cs="Calibri Light"/>
                <w:sz w:val="20"/>
                <w:szCs w:val="20"/>
              </w:rPr>
            </w:pPr>
            <w:r w:rsidRPr="00EE45C0">
              <w:rPr>
                <w:rFonts w:cs="Calibri Light"/>
                <w:color w:val="000000"/>
                <w:sz w:val="20"/>
                <w:szCs w:val="20"/>
              </w:rPr>
              <w:t>RE-WtrHt-SmlStrg-HP-lte12kW-rep60G-3p50EF</w:t>
            </w:r>
          </w:p>
          <w:p w14:paraId="7EC449A7" w14:textId="77777777" w:rsidR="00EA057C" w:rsidRPr="001F75B0" w:rsidRDefault="001F75B0" w:rsidP="001F75B0">
            <w:pPr>
              <w:spacing w:before="0" w:after="0" w:line="240" w:lineRule="auto"/>
              <w:rPr>
                <w:rFonts w:cs="Calibri Light"/>
                <w:sz w:val="20"/>
                <w:szCs w:val="20"/>
              </w:rPr>
            </w:pPr>
            <w:r w:rsidRPr="00EE45C0">
              <w:rPr>
                <w:rFonts w:cs="Calibri Light"/>
                <w:color w:val="000000"/>
                <w:sz w:val="20"/>
                <w:szCs w:val="20"/>
              </w:rPr>
              <w:t>RE-WtrHt-SmlStrg-HP-lte12kW-rep75G-3p50EF</w:t>
            </w:r>
          </w:p>
        </w:tc>
      </w:tr>
      <w:tr w:rsidR="00EA057C" w:rsidRPr="00500C4E" w14:paraId="0A0FA5D4" w14:textId="77777777" w:rsidTr="00EA057C">
        <w:trPr>
          <w:trHeight w:val="20"/>
        </w:trPr>
        <w:tc>
          <w:tcPr>
            <w:tcW w:w="1730" w:type="pct"/>
          </w:tcPr>
          <w:p w14:paraId="069CB37C" w14:textId="77777777" w:rsidR="00EA057C" w:rsidRPr="00EA057C" w:rsidRDefault="00EA057C" w:rsidP="00EA057C">
            <w:pPr>
              <w:keepNext/>
              <w:keepLines/>
              <w:spacing w:before="20" w:after="20"/>
              <w:rPr>
                <w:rFonts w:cs="Arial"/>
                <w:sz w:val="20"/>
                <w:szCs w:val="20"/>
              </w:rPr>
            </w:pPr>
            <w:r>
              <w:rPr>
                <w:rFonts w:cs="Arial"/>
                <w:sz w:val="20"/>
                <w:szCs w:val="20"/>
              </w:rPr>
              <w:t>NTG</w:t>
            </w:r>
          </w:p>
        </w:tc>
        <w:tc>
          <w:tcPr>
            <w:tcW w:w="3270" w:type="pct"/>
          </w:tcPr>
          <w:p w14:paraId="449E5AD6" w14:textId="77777777" w:rsidR="00EA057C" w:rsidRPr="007743C7" w:rsidRDefault="00466C27" w:rsidP="00FB5A97">
            <w:pPr>
              <w:keepNext/>
              <w:keepLines/>
              <w:spacing w:before="20" w:after="20"/>
              <w:rPr>
                <w:rFonts w:cs="Arial"/>
                <w:sz w:val="20"/>
                <w:szCs w:val="20"/>
              </w:rPr>
            </w:pPr>
            <w:r w:rsidRPr="007743C7">
              <w:rPr>
                <w:sz w:val="20"/>
                <w:szCs w:val="20"/>
              </w:rPr>
              <w:t xml:space="preserve">Source: </w:t>
            </w:r>
            <w:r w:rsidR="00D80ECD" w:rsidRPr="007743C7">
              <w:rPr>
                <w:sz w:val="20"/>
                <w:szCs w:val="20"/>
              </w:rPr>
              <w:t>DEER201</w:t>
            </w:r>
            <w:r w:rsidR="00D80ECD">
              <w:rPr>
                <w:sz w:val="20"/>
                <w:szCs w:val="20"/>
              </w:rPr>
              <w:t>7</w:t>
            </w:r>
            <w:r w:rsidRPr="007743C7">
              <w:rPr>
                <w:sz w:val="20"/>
                <w:szCs w:val="20"/>
              </w:rPr>
              <w:t xml:space="preserve">. NTG of 0.55 is associate with NTG ID: </w:t>
            </w:r>
            <w:proofErr w:type="spellStart"/>
            <w:r w:rsidR="00751772">
              <w:rPr>
                <w:i/>
                <w:sz w:val="20"/>
                <w:szCs w:val="20"/>
              </w:rPr>
              <w:t>Res</w:t>
            </w:r>
            <w:r w:rsidR="00FB5A97" w:rsidRPr="001931B2">
              <w:rPr>
                <w:i/>
                <w:sz w:val="20"/>
                <w:szCs w:val="20"/>
              </w:rPr>
              <w:t>Default</w:t>
            </w:r>
            <w:proofErr w:type="spellEnd"/>
            <w:r w:rsidR="00751772">
              <w:rPr>
                <w:i/>
                <w:sz w:val="20"/>
                <w:szCs w:val="20"/>
              </w:rPr>
              <w:t>&gt;</w:t>
            </w:r>
            <w:r w:rsidRPr="001931B2">
              <w:rPr>
                <w:i/>
                <w:sz w:val="20"/>
                <w:szCs w:val="20"/>
              </w:rPr>
              <w:t>2</w:t>
            </w:r>
            <w:r w:rsidR="00FB5A97" w:rsidRPr="001931B2">
              <w:rPr>
                <w:i/>
                <w:sz w:val="20"/>
                <w:szCs w:val="20"/>
              </w:rPr>
              <w:t>yrs</w:t>
            </w:r>
            <w:r w:rsidRPr="001931B2">
              <w:rPr>
                <w:i/>
                <w:sz w:val="20"/>
                <w:szCs w:val="20"/>
              </w:rPr>
              <w:t xml:space="preserve">. </w:t>
            </w:r>
          </w:p>
        </w:tc>
      </w:tr>
      <w:tr w:rsidR="00EA057C" w:rsidRPr="00500C4E" w14:paraId="04312DD2" w14:textId="77777777" w:rsidTr="00EA057C">
        <w:trPr>
          <w:trHeight w:val="20"/>
        </w:trPr>
        <w:tc>
          <w:tcPr>
            <w:tcW w:w="1730" w:type="pct"/>
          </w:tcPr>
          <w:p w14:paraId="15596094" w14:textId="77777777" w:rsidR="00EA057C" w:rsidRDefault="00EA057C" w:rsidP="00EA057C">
            <w:pPr>
              <w:keepNext/>
              <w:keepLines/>
              <w:spacing w:before="20" w:after="20"/>
              <w:rPr>
                <w:rFonts w:cs="Arial"/>
                <w:sz w:val="20"/>
                <w:szCs w:val="20"/>
              </w:rPr>
            </w:pPr>
            <w:r>
              <w:rPr>
                <w:rFonts w:cs="Arial"/>
                <w:sz w:val="20"/>
                <w:szCs w:val="20"/>
              </w:rPr>
              <w:t>GSIA</w:t>
            </w:r>
          </w:p>
        </w:tc>
        <w:tc>
          <w:tcPr>
            <w:tcW w:w="3270" w:type="pct"/>
          </w:tcPr>
          <w:p w14:paraId="20DAC7D6" w14:textId="77777777" w:rsidR="00EA057C" w:rsidRPr="007743C7" w:rsidRDefault="002C4CA2" w:rsidP="00EA057C">
            <w:pPr>
              <w:keepNext/>
              <w:keepLines/>
              <w:spacing w:before="20" w:after="20"/>
              <w:rPr>
                <w:rFonts w:cs="Arial"/>
                <w:sz w:val="20"/>
                <w:szCs w:val="20"/>
              </w:rPr>
            </w:pPr>
            <w:r w:rsidRPr="007743C7">
              <w:rPr>
                <w:rFonts w:cs="Arial"/>
                <w:sz w:val="20"/>
                <w:szCs w:val="20"/>
              </w:rPr>
              <w:t xml:space="preserve">GSIA ID: </w:t>
            </w:r>
            <w:r w:rsidRPr="007743C7">
              <w:rPr>
                <w:rFonts w:cs="Arial"/>
                <w:i/>
                <w:sz w:val="20"/>
                <w:szCs w:val="20"/>
              </w:rPr>
              <w:t>Def-GSIA</w:t>
            </w:r>
          </w:p>
        </w:tc>
      </w:tr>
      <w:tr w:rsidR="00EA057C" w:rsidRPr="00500C4E" w14:paraId="54B60CC9" w14:textId="77777777" w:rsidTr="00EA057C">
        <w:trPr>
          <w:trHeight w:val="20"/>
        </w:trPr>
        <w:tc>
          <w:tcPr>
            <w:tcW w:w="1730" w:type="pct"/>
          </w:tcPr>
          <w:p w14:paraId="6DB772EE" w14:textId="77777777" w:rsidR="00EA057C" w:rsidRDefault="00EA057C" w:rsidP="00EA057C">
            <w:pPr>
              <w:keepNext/>
              <w:keepLines/>
              <w:spacing w:before="20" w:after="20"/>
              <w:rPr>
                <w:rFonts w:cs="Arial"/>
                <w:sz w:val="20"/>
                <w:szCs w:val="20"/>
              </w:rPr>
            </w:pPr>
            <w:r>
              <w:rPr>
                <w:rFonts w:cs="Arial"/>
                <w:sz w:val="20"/>
                <w:szCs w:val="20"/>
              </w:rPr>
              <w:t>EUL/RUL</w:t>
            </w:r>
          </w:p>
        </w:tc>
        <w:tc>
          <w:tcPr>
            <w:tcW w:w="3270" w:type="pct"/>
          </w:tcPr>
          <w:p w14:paraId="31C103A8" w14:textId="77777777" w:rsidR="00EA057C" w:rsidRPr="007743C7" w:rsidRDefault="00321489" w:rsidP="00FB5A97">
            <w:pPr>
              <w:keepNext/>
              <w:keepLines/>
              <w:spacing w:before="20" w:after="20"/>
              <w:rPr>
                <w:rFonts w:cs="Arial"/>
                <w:sz w:val="20"/>
                <w:szCs w:val="20"/>
              </w:rPr>
            </w:pPr>
            <w:r w:rsidRPr="007743C7">
              <w:rPr>
                <w:sz w:val="20"/>
                <w:szCs w:val="20"/>
              </w:rPr>
              <w:t xml:space="preserve">Source: </w:t>
            </w:r>
            <w:r w:rsidR="00BB40B3" w:rsidRPr="007743C7">
              <w:rPr>
                <w:sz w:val="20"/>
                <w:szCs w:val="20"/>
              </w:rPr>
              <w:t>DEER201</w:t>
            </w:r>
            <w:r w:rsidR="00BB40B3">
              <w:rPr>
                <w:sz w:val="20"/>
                <w:szCs w:val="20"/>
              </w:rPr>
              <w:t>7</w:t>
            </w:r>
            <w:r w:rsidRPr="007743C7">
              <w:rPr>
                <w:sz w:val="20"/>
                <w:szCs w:val="20"/>
              </w:rPr>
              <w:t xml:space="preserve">. The EUL of </w:t>
            </w:r>
            <w:r w:rsidR="00FB5A97" w:rsidRPr="007743C7">
              <w:rPr>
                <w:sz w:val="20"/>
                <w:szCs w:val="20"/>
              </w:rPr>
              <w:t>10</w:t>
            </w:r>
            <w:r w:rsidRPr="007743C7">
              <w:rPr>
                <w:sz w:val="20"/>
                <w:szCs w:val="20"/>
              </w:rPr>
              <w:t xml:space="preserve"> years is associated with EUL ID: </w:t>
            </w:r>
            <w:proofErr w:type="spellStart"/>
            <w:r w:rsidR="0043533F" w:rsidRPr="007743C7">
              <w:rPr>
                <w:i/>
                <w:sz w:val="20"/>
                <w:szCs w:val="20"/>
              </w:rPr>
              <w:t>WtrHt-</w:t>
            </w:r>
            <w:r w:rsidR="00FB5A97" w:rsidRPr="007743C7">
              <w:rPr>
                <w:i/>
                <w:sz w:val="20"/>
                <w:szCs w:val="20"/>
              </w:rPr>
              <w:t>HtPump</w:t>
            </w:r>
            <w:proofErr w:type="spellEnd"/>
            <w:r w:rsidRPr="007743C7">
              <w:rPr>
                <w:sz w:val="20"/>
                <w:szCs w:val="20"/>
              </w:rPr>
              <w:t xml:space="preserve"> </w:t>
            </w:r>
          </w:p>
        </w:tc>
      </w:tr>
    </w:tbl>
    <w:p w14:paraId="6715632B" w14:textId="77777777" w:rsidR="00EA057C" w:rsidRDefault="00EA057C" w:rsidP="004142EF"/>
    <w:p w14:paraId="3A8A54E5" w14:textId="77777777" w:rsidR="007D230B" w:rsidRDefault="007D230B" w:rsidP="000F1A47">
      <w:pPr>
        <w:pStyle w:val="eTRMHeading3"/>
      </w:pPr>
      <w:bookmarkStart w:id="75" w:name="_Toc486490866"/>
      <w:bookmarkStart w:id="76" w:name="_Toc486580937"/>
      <w:bookmarkStart w:id="77" w:name="_Toc2234193"/>
      <w:r w:rsidRPr="004B06E3">
        <w:t>Revision History</w:t>
      </w:r>
      <w:bookmarkEnd w:id="75"/>
      <w:bookmarkEnd w:id="76"/>
      <w:bookmarkEnd w:id="77"/>
    </w:p>
    <w:p w14:paraId="67E79AB9" w14:textId="77777777" w:rsidR="00EC2BDB" w:rsidRDefault="00EC2BDB" w:rsidP="00EC2BDB">
      <w:pPr>
        <w:pStyle w:val="Caption"/>
      </w:pPr>
      <w:bookmarkStart w:id="78"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575"/>
        <w:gridCol w:w="1711"/>
        <w:gridCol w:w="5124"/>
      </w:tblGrid>
      <w:tr w:rsidR="00EC2BDB" w:rsidRPr="00500C4E" w14:paraId="0E94EBA4" w14:textId="77777777" w:rsidTr="000843C8">
        <w:trPr>
          <w:trHeight w:val="20"/>
        </w:trPr>
        <w:tc>
          <w:tcPr>
            <w:tcW w:w="503" w:type="pct"/>
            <w:shd w:val="clear" w:color="auto" w:fill="F2F2F2" w:themeFill="background1" w:themeFillShade="F2"/>
            <w:vAlign w:val="bottom"/>
          </w:tcPr>
          <w:p w14:paraId="3B279AA0" w14:textId="77777777" w:rsidR="00EC2BDB" w:rsidRPr="00EA057C" w:rsidRDefault="00EC2BDB" w:rsidP="00CA1E41">
            <w:pPr>
              <w:keepNext/>
              <w:keepLines/>
              <w:tabs>
                <w:tab w:val="right" w:pos="2957"/>
              </w:tabs>
              <w:spacing w:before="20" w:after="20"/>
              <w:rPr>
                <w:rFonts w:cs="Arial"/>
                <w:b/>
                <w:sz w:val="20"/>
                <w:szCs w:val="20"/>
              </w:rPr>
            </w:pPr>
            <w:r>
              <w:rPr>
                <w:rFonts w:cs="Arial"/>
                <w:b/>
                <w:sz w:val="20"/>
                <w:szCs w:val="20"/>
              </w:rPr>
              <w:t>Revision Number</w:t>
            </w:r>
          </w:p>
        </w:tc>
        <w:tc>
          <w:tcPr>
            <w:tcW w:w="842" w:type="pct"/>
            <w:shd w:val="clear" w:color="auto" w:fill="F2F2F2" w:themeFill="background1" w:themeFillShade="F2"/>
            <w:vAlign w:val="bottom"/>
          </w:tcPr>
          <w:p w14:paraId="7963C9C8" w14:textId="77777777" w:rsidR="00EC2BDB" w:rsidRPr="00EA057C" w:rsidRDefault="000843C8" w:rsidP="00CA1E41">
            <w:pPr>
              <w:keepNext/>
              <w:keepLines/>
              <w:spacing w:before="20" w:after="20"/>
              <w:rPr>
                <w:rFonts w:cs="Arial"/>
                <w:b/>
                <w:sz w:val="20"/>
                <w:szCs w:val="20"/>
              </w:rPr>
            </w:pPr>
            <w:r>
              <w:rPr>
                <w:rFonts w:cs="Arial"/>
                <w:b/>
                <w:sz w:val="20"/>
                <w:szCs w:val="20"/>
              </w:rPr>
              <w:t xml:space="preserve">Revision Complete </w:t>
            </w:r>
            <w:r w:rsidR="00EC2BDB">
              <w:rPr>
                <w:rFonts w:cs="Arial"/>
                <w:b/>
                <w:sz w:val="20"/>
                <w:szCs w:val="20"/>
              </w:rPr>
              <w:t>Date</w:t>
            </w:r>
          </w:p>
        </w:tc>
        <w:tc>
          <w:tcPr>
            <w:tcW w:w="915" w:type="pct"/>
            <w:shd w:val="clear" w:color="auto" w:fill="F2F2F2" w:themeFill="background1" w:themeFillShade="F2"/>
            <w:vAlign w:val="bottom"/>
          </w:tcPr>
          <w:p w14:paraId="0440FFD0" w14:textId="77777777" w:rsidR="00EC2BDB" w:rsidRDefault="00EC2BDB" w:rsidP="00CA1E41">
            <w:pPr>
              <w:keepNext/>
              <w:keepLines/>
              <w:spacing w:before="20" w:after="20"/>
              <w:rPr>
                <w:rFonts w:cs="Arial"/>
                <w:b/>
                <w:sz w:val="20"/>
                <w:szCs w:val="20"/>
              </w:rPr>
            </w:pPr>
            <w:r>
              <w:rPr>
                <w:rFonts w:cs="Arial"/>
                <w:b/>
                <w:sz w:val="20"/>
                <w:szCs w:val="20"/>
              </w:rPr>
              <w:t>Primary Author, Title, Organization</w:t>
            </w:r>
          </w:p>
        </w:tc>
        <w:tc>
          <w:tcPr>
            <w:tcW w:w="2740" w:type="pct"/>
            <w:shd w:val="clear" w:color="auto" w:fill="F2F2F2" w:themeFill="background1" w:themeFillShade="F2"/>
            <w:vAlign w:val="bottom"/>
          </w:tcPr>
          <w:p w14:paraId="4CA26F4E" w14:textId="77777777" w:rsidR="00EC2BDB" w:rsidRDefault="00EC2BDB" w:rsidP="000843C8">
            <w:pPr>
              <w:keepNext/>
              <w:keepLines/>
              <w:spacing w:before="20" w:after="20"/>
              <w:rPr>
                <w:rFonts w:cs="Arial"/>
                <w:b/>
                <w:sz w:val="20"/>
                <w:szCs w:val="20"/>
              </w:rPr>
            </w:pPr>
            <w:r>
              <w:rPr>
                <w:rFonts w:cs="Arial"/>
                <w:b/>
                <w:sz w:val="20"/>
                <w:szCs w:val="20"/>
              </w:rPr>
              <w:t>Revision Summary and Rationale for Revision</w:t>
            </w:r>
          </w:p>
        </w:tc>
      </w:tr>
      <w:tr w:rsidR="00311B8C" w:rsidRPr="00CA1CB3" w14:paraId="4AF442E6" w14:textId="77777777" w:rsidTr="00C53287">
        <w:trPr>
          <w:trHeight w:val="20"/>
        </w:trPr>
        <w:tc>
          <w:tcPr>
            <w:tcW w:w="503" w:type="pct"/>
          </w:tcPr>
          <w:p w14:paraId="0220A010" w14:textId="77777777" w:rsidR="00311B8C" w:rsidRPr="006843C1" w:rsidRDefault="00311B8C" w:rsidP="00D239A1">
            <w:pPr>
              <w:keepNext/>
              <w:keepLines/>
              <w:spacing w:before="20" w:after="20"/>
              <w:rPr>
                <w:rFonts w:cs="Arial"/>
                <w:sz w:val="20"/>
                <w:szCs w:val="20"/>
              </w:rPr>
            </w:pPr>
            <w:r w:rsidRPr="006843C1">
              <w:rPr>
                <w:rFonts w:cs="Arial"/>
                <w:sz w:val="20"/>
                <w:szCs w:val="20"/>
              </w:rPr>
              <w:t>01</w:t>
            </w:r>
          </w:p>
        </w:tc>
        <w:tc>
          <w:tcPr>
            <w:tcW w:w="842" w:type="pct"/>
          </w:tcPr>
          <w:p w14:paraId="38A9431B" w14:textId="77777777" w:rsidR="00311B8C" w:rsidRPr="006843C1" w:rsidRDefault="00311B8C" w:rsidP="00D239A1">
            <w:pPr>
              <w:keepNext/>
              <w:keepLines/>
              <w:spacing w:before="20" w:after="20"/>
              <w:rPr>
                <w:rFonts w:cs="Arial"/>
                <w:sz w:val="20"/>
                <w:szCs w:val="20"/>
              </w:rPr>
            </w:pPr>
            <w:r w:rsidRPr="006843C1">
              <w:rPr>
                <w:rFonts w:cs="Arial"/>
                <w:sz w:val="20"/>
                <w:szCs w:val="20"/>
              </w:rPr>
              <w:t>12/31/2017</w:t>
            </w:r>
          </w:p>
        </w:tc>
        <w:tc>
          <w:tcPr>
            <w:tcW w:w="915" w:type="pct"/>
          </w:tcPr>
          <w:p w14:paraId="50802C9D" w14:textId="77777777" w:rsidR="00311B8C" w:rsidRPr="006843C1" w:rsidRDefault="00311B8C" w:rsidP="00D239A1">
            <w:pPr>
              <w:keepNext/>
              <w:keepLines/>
              <w:spacing w:before="20" w:after="20"/>
              <w:rPr>
                <w:rFonts w:cs="Arial"/>
                <w:sz w:val="20"/>
                <w:szCs w:val="20"/>
              </w:rPr>
            </w:pPr>
            <w:r w:rsidRPr="006843C1">
              <w:rPr>
                <w:rFonts w:cs="Arial"/>
                <w:sz w:val="20"/>
                <w:szCs w:val="20"/>
              </w:rPr>
              <w:t>Jennifer Holmes</w:t>
            </w:r>
          </w:p>
          <w:p w14:paraId="603C70A7" w14:textId="77777777" w:rsidR="00311B8C" w:rsidRPr="006843C1" w:rsidRDefault="00311B8C" w:rsidP="00D239A1">
            <w:pPr>
              <w:keepNext/>
              <w:keepLines/>
              <w:spacing w:before="20" w:after="20"/>
              <w:rPr>
                <w:rFonts w:cs="Arial"/>
                <w:sz w:val="20"/>
                <w:szCs w:val="20"/>
              </w:rPr>
            </w:pPr>
            <w:r w:rsidRPr="006843C1">
              <w:rPr>
                <w:rFonts w:cs="Arial"/>
                <w:sz w:val="20"/>
                <w:szCs w:val="20"/>
              </w:rPr>
              <w:t>Cal TF Staff</w:t>
            </w:r>
          </w:p>
        </w:tc>
        <w:tc>
          <w:tcPr>
            <w:tcW w:w="2740" w:type="pct"/>
          </w:tcPr>
          <w:p w14:paraId="09BAACE9" w14:textId="77777777" w:rsidR="00311B8C" w:rsidRPr="006843C1" w:rsidRDefault="00311B8C" w:rsidP="00D239A1">
            <w:pPr>
              <w:keepNext/>
              <w:keepLines/>
              <w:spacing w:before="20" w:after="20"/>
              <w:rPr>
                <w:rFonts w:cs="Calibri Light"/>
                <w:sz w:val="20"/>
                <w:szCs w:val="20"/>
              </w:rPr>
            </w:pPr>
            <w:r w:rsidRPr="006843C1">
              <w:rPr>
                <w:rFonts w:cs="Calibri Light"/>
                <w:sz w:val="20"/>
                <w:szCs w:val="20"/>
              </w:rPr>
              <w:t>Draft of consolidated text for this statewide measure is based upon:</w:t>
            </w:r>
          </w:p>
          <w:p w14:paraId="59880BE2" w14:textId="77777777" w:rsidR="00311B8C" w:rsidRPr="006843C1" w:rsidRDefault="00311B8C" w:rsidP="00D239A1">
            <w:pPr>
              <w:keepNext/>
              <w:keepLines/>
              <w:spacing w:before="20" w:after="20"/>
              <w:rPr>
                <w:rFonts w:eastAsia="Times New Roman" w:cs="Calibri Light"/>
                <w:color w:val="000000"/>
                <w:sz w:val="20"/>
                <w:szCs w:val="20"/>
              </w:rPr>
            </w:pPr>
            <w:r w:rsidRPr="006843C1">
              <w:rPr>
                <w:rFonts w:eastAsia="Times New Roman" w:cs="Calibri Light"/>
                <w:color w:val="000000"/>
                <w:sz w:val="20"/>
                <w:szCs w:val="20"/>
              </w:rPr>
              <w:t>WPSDGEREWH0022, Revision 1.1 (May 1,2015)</w:t>
            </w:r>
          </w:p>
          <w:p w14:paraId="533CC181" w14:textId="77777777" w:rsidR="00311B8C" w:rsidRPr="006843C1" w:rsidRDefault="00311B8C" w:rsidP="00D239A1">
            <w:pPr>
              <w:keepNext/>
              <w:keepLines/>
              <w:spacing w:before="20" w:after="20"/>
              <w:rPr>
                <w:rFonts w:eastAsia="Times New Roman" w:cs="Calibri Light"/>
                <w:color w:val="000000"/>
                <w:sz w:val="20"/>
                <w:szCs w:val="20"/>
              </w:rPr>
            </w:pPr>
            <w:r w:rsidRPr="006843C1">
              <w:rPr>
                <w:rFonts w:eastAsia="Times New Roman" w:cs="Calibri Light"/>
                <w:color w:val="000000"/>
                <w:sz w:val="20"/>
                <w:szCs w:val="20"/>
              </w:rPr>
              <w:t>SCE13WH001, Revision 3 (January 28, 2015)</w:t>
            </w:r>
          </w:p>
          <w:p w14:paraId="5CD85AFC" w14:textId="77777777" w:rsidR="00311B8C" w:rsidRPr="006843C1" w:rsidRDefault="00311B8C" w:rsidP="00D239A1">
            <w:pPr>
              <w:keepNext/>
              <w:keepLines/>
              <w:spacing w:before="20" w:after="20"/>
              <w:rPr>
                <w:rFonts w:eastAsia="Times New Roman" w:cs="Calibri Light"/>
                <w:color w:val="000000"/>
                <w:sz w:val="20"/>
                <w:szCs w:val="20"/>
              </w:rPr>
            </w:pPr>
            <w:r w:rsidRPr="006843C1">
              <w:rPr>
                <w:rFonts w:eastAsia="Times New Roman" w:cs="Calibri Light"/>
                <w:color w:val="000000"/>
                <w:sz w:val="20"/>
                <w:szCs w:val="20"/>
              </w:rPr>
              <w:t>PGECODHW106, Revision 6 (April 4, 2014)</w:t>
            </w:r>
          </w:p>
          <w:p w14:paraId="73276FAD" w14:textId="77777777" w:rsidR="00311B8C" w:rsidRPr="006843C1" w:rsidRDefault="00311B8C" w:rsidP="00D239A1">
            <w:pPr>
              <w:keepNext/>
              <w:keepLines/>
              <w:spacing w:before="20" w:after="20"/>
              <w:rPr>
                <w:rFonts w:cs="Calibri Light"/>
                <w:sz w:val="20"/>
                <w:szCs w:val="20"/>
              </w:rPr>
            </w:pPr>
            <w:r w:rsidRPr="006843C1">
              <w:rPr>
                <w:rFonts w:cs="Calibri Light"/>
                <w:sz w:val="20"/>
                <w:szCs w:val="20"/>
              </w:rPr>
              <w:t>Consensus reached among Cal TF members.</w:t>
            </w:r>
          </w:p>
        </w:tc>
      </w:tr>
      <w:tr w:rsidR="000843C8" w:rsidRPr="00CA1CB3" w14:paraId="0C3896CD" w14:textId="77777777" w:rsidTr="000843C8">
        <w:trPr>
          <w:trHeight w:val="20"/>
        </w:trPr>
        <w:tc>
          <w:tcPr>
            <w:tcW w:w="503" w:type="pct"/>
          </w:tcPr>
          <w:p w14:paraId="17B73F8F" w14:textId="77777777" w:rsidR="000843C8" w:rsidRPr="00CA1CB3" w:rsidRDefault="000843C8" w:rsidP="000843C8">
            <w:pPr>
              <w:keepNext/>
              <w:keepLines/>
              <w:spacing w:before="20" w:after="20"/>
              <w:rPr>
                <w:rFonts w:cs="Arial"/>
                <w:sz w:val="20"/>
                <w:szCs w:val="20"/>
              </w:rPr>
            </w:pPr>
          </w:p>
        </w:tc>
        <w:tc>
          <w:tcPr>
            <w:tcW w:w="842" w:type="pct"/>
          </w:tcPr>
          <w:p w14:paraId="6C0E07CB" w14:textId="77777777" w:rsidR="000843C8" w:rsidRPr="00CE76A1" w:rsidRDefault="000843C8" w:rsidP="000843C8">
            <w:pPr>
              <w:keepNext/>
              <w:keepLines/>
              <w:spacing w:before="20" w:after="20"/>
              <w:rPr>
                <w:rFonts w:cs="Arial"/>
                <w:sz w:val="20"/>
                <w:szCs w:val="20"/>
              </w:rPr>
            </w:pPr>
            <w:r>
              <w:rPr>
                <w:rFonts w:cs="Arial"/>
                <w:sz w:val="20"/>
                <w:szCs w:val="20"/>
              </w:rPr>
              <w:t>2/12/2019</w:t>
            </w:r>
          </w:p>
        </w:tc>
        <w:tc>
          <w:tcPr>
            <w:tcW w:w="915" w:type="pct"/>
          </w:tcPr>
          <w:p w14:paraId="714DF572" w14:textId="77777777" w:rsidR="000843C8" w:rsidRPr="00CE76A1" w:rsidRDefault="000843C8" w:rsidP="000843C8">
            <w:pPr>
              <w:keepNext/>
              <w:keepLines/>
              <w:spacing w:before="20" w:after="20"/>
              <w:rPr>
                <w:rFonts w:cs="Arial"/>
                <w:sz w:val="20"/>
                <w:szCs w:val="20"/>
              </w:rPr>
            </w:pPr>
            <w:r>
              <w:rPr>
                <w:rFonts w:cs="Arial"/>
                <w:sz w:val="20"/>
                <w:szCs w:val="20"/>
              </w:rPr>
              <w:t>John Baffa, TRC</w:t>
            </w:r>
          </w:p>
        </w:tc>
        <w:tc>
          <w:tcPr>
            <w:tcW w:w="2740" w:type="pct"/>
          </w:tcPr>
          <w:p w14:paraId="56CE1C9C" w14:textId="77777777" w:rsidR="002049CA" w:rsidRDefault="002049CA" w:rsidP="000843C8">
            <w:pPr>
              <w:keepNext/>
              <w:keepLines/>
              <w:spacing w:before="20" w:after="20"/>
              <w:rPr>
                <w:rFonts w:cs="Arial"/>
                <w:sz w:val="20"/>
                <w:szCs w:val="20"/>
              </w:rPr>
            </w:pPr>
            <w:r>
              <w:rPr>
                <w:rFonts w:cs="Arial"/>
                <w:sz w:val="20"/>
                <w:szCs w:val="20"/>
              </w:rPr>
              <w:t>Updated based upon:</w:t>
            </w:r>
          </w:p>
          <w:p w14:paraId="3C2C72CD" w14:textId="77777777" w:rsidR="002049CA" w:rsidRDefault="002049CA" w:rsidP="000843C8">
            <w:pPr>
              <w:keepNext/>
              <w:keepLines/>
              <w:spacing w:before="20" w:after="20"/>
              <w:rPr>
                <w:rFonts w:cs="Arial"/>
                <w:sz w:val="20"/>
                <w:szCs w:val="20"/>
              </w:rPr>
            </w:pPr>
            <w:r>
              <w:rPr>
                <w:rFonts w:cs="Arial"/>
                <w:sz w:val="20"/>
                <w:szCs w:val="20"/>
              </w:rPr>
              <w:t>SCE17WH001, Revision 2 (December 3, 2018)</w:t>
            </w:r>
          </w:p>
          <w:p w14:paraId="103CEC0E" w14:textId="77777777" w:rsidR="000843C8" w:rsidRPr="00CA1CB3" w:rsidRDefault="000843C8" w:rsidP="000843C8">
            <w:pPr>
              <w:keepNext/>
              <w:keepLines/>
              <w:spacing w:before="20" w:after="20"/>
              <w:rPr>
                <w:rFonts w:cs="Arial"/>
                <w:sz w:val="20"/>
                <w:szCs w:val="20"/>
              </w:rPr>
            </w:pPr>
            <w:r>
              <w:rPr>
                <w:rFonts w:cs="Arial"/>
                <w:sz w:val="20"/>
                <w:szCs w:val="20"/>
              </w:rPr>
              <w:t xml:space="preserve">Updated code references for newer versions, converted EF language to UEF, modified peak demand savings to reflect 4 </w:t>
            </w:r>
            <w:r w:rsidR="002049CA">
              <w:rPr>
                <w:rFonts w:cs="Arial"/>
                <w:sz w:val="20"/>
                <w:szCs w:val="20"/>
              </w:rPr>
              <w:t xml:space="preserve">p.m. </w:t>
            </w:r>
            <w:r>
              <w:rPr>
                <w:rFonts w:cs="Arial"/>
                <w:sz w:val="20"/>
                <w:szCs w:val="20"/>
              </w:rPr>
              <w:t>to 9 p</w:t>
            </w:r>
            <w:r w:rsidR="002049CA">
              <w:rPr>
                <w:rFonts w:cs="Arial"/>
                <w:sz w:val="20"/>
                <w:szCs w:val="20"/>
              </w:rPr>
              <w:t>.</w:t>
            </w:r>
            <w:r>
              <w:rPr>
                <w:rFonts w:cs="Arial"/>
                <w:sz w:val="20"/>
                <w:szCs w:val="20"/>
              </w:rPr>
              <w:t>m</w:t>
            </w:r>
            <w:r w:rsidR="002049CA">
              <w:rPr>
                <w:rFonts w:cs="Arial"/>
                <w:sz w:val="20"/>
                <w:szCs w:val="20"/>
              </w:rPr>
              <w:t>.</w:t>
            </w:r>
            <w:r>
              <w:rPr>
                <w:rFonts w:cs="Arial"/>
                <w:sz w:val="20"/>
                <w:szCs w:val="20"/>
              </w:rPr>
              <w:t xml:space="preserve"> peak period.</w:t>
            </w:r>
          </w:p>
        </w:tc>
      </w:tr>
      <w:tr w:rsidR="00C53287" w:rsidRPr="00CA1CB3" w14:paraId="5BD60B99" w14:textId="77777777" w:rsidTr="000843C8">
        <w:trPr>
          <w:trHeight w:val="20"/>
        </w:trPr>
        <w:tc>
          <w:tcPr>
            <w:tcW w:w="503" w:type="pct"/>
          </w:tcPr>
          <w:p w14:paraId="71FDF569" w14:textId="77777777" w:rsidR="00C53287" w:rsidRPr="00CA1CB3" w:rsidRDefault="00C53287" w:rsidP="00C53287">
            <w:pPr>
              <w:keepNext/>
              <w:keepLines/>
              <w:spacing w:before="20" w:after="20"/>
              <w:rPr>
                <w:rFonts w:cs="Arial"/>
                <w:sz w:val="20"/>
                <w:szCs w:val="20"/>
              </w:rPr>
            </w:pPr>
          </w:p>
        </w:tc>
        <w:tc>
          <w:tcPr>
            <w:tcW w:w="842" w:type="pct"/>
          </w:tcPr>
          <w:p w14:paraId="36BCAD2A" w14:textId="070C2724" w:rsidR="00C53287" w:rsidRDefault="00C53287" w:rsidP="00C53287">
            <w:pPr>
              <w:keepNext/>
              <w:keepLines/>
              <w:spacing w:before="20" w:after="20"/>
              <w:rPr>
                <w:rFonts w:cs="Arial"/>
                <w:sz w:val="20"/>
                <w:szCs w:val="20"/>
              </w:rPr>
            </w:pPr>
            <w:r>
              <w:rPr>
                <w:rFonts w:cs="Arial"/>
                <w:sz w:val="20"/>
                <w:szCs w:val="20"/>
              </w:rPr>
              <w:t>2/2</w:t>
            </w:r>
            <w:r w:rsidR="00767E54">
              <w:rPr>
                <w:rFonts w:cs="Arial"/>
                <w:sz w:val="20"/>
                <w:szCs w:val="20"/>
              </w:rPr>
              <w:t>8</w:t>
            </w:r>
            <w:r>
              <w:rPr>
                <w:rFonts w:cs="Arial"/>
                <w:sz w:val="20"/>
                <w:szCs w:val="20"/>
              </w:rPr>
              <w:t>/2019</w:t>
            </w:r>
          </w:p>
        </w:tc>
        <w:tc>
          <w:tcPr>
            <w:tcW w:w="915" w:type="pct"/>
          </w:tcPr>
          <w:p w14:paraId="7F4BED02" w14:textId="77777777" w:rsidR="00C53287" w:rsidRPr="006843C1" w:rsidRDefault="00C53287" w:rsidP="00C53287">
            <w:pPr>
              <w:keepNext/>
              <w:keepLines/>
              <w:spacing w:before="20" w:after="20"/>
              <w:rPr>
                <w:rFonts w:cs="Arial"/>
                <w:sz w:val="20"/>
                <w:szCs w:val="20"/>
              </w:rPr>
            </w:pPr>
            <w:r w:rsidRPr="006843C1">
              <w:rPr>
                <w:rFonts w:cs="Arial"/>
                <w:sz w:val="20"/>
                <w:szCs w:val="20"/>
              </w:rPr>
              <w:t>Jennifer Holmes</w:t>
            </w:r>
          </w:p>
          <w:p w14:paraId="1ED0743E" w14:textId="77777777" w:rsidR="00C53287" w:rsidRPr="006843C1" w:rsidRDefault="00C53287" w:rsidP="00C53287">
            <w:pPr>
              <w:keepNext/>
              <w:keepLines/>
              <w:spacing w:before="20" w:after="20"/>
              <w:rPr>
                <w:rFonts w:cs="Arial"/>
                <w:sz w:val="20"/>
                <w:szCs w:val="20"/>
              </w:rPr>
            </w:pPr>
            <w:r w:rsidRPr="006843C1">
              <w:rPr>
                <w:rFonts w:cs="Arial"/>
                <w:sz w:val="20"/>
                <w:szCs w:val="20"/>
              </w:rPr>
              <w:t>Cal TF Staff</w:t>
            </w:r>
          </w:p>
        </w:tc>
        <w:tc>
          <w:tcPr>
            <w:tcW w:w="2740" w:type="pct"/>
          </w:tcPr>
          <w:p w14:paraId="3E083495" w14:textId="77777777" w:rsidR="00C53287" w:rsidRDefault="00C53287" w:rsidP="00C53287">
            <w:pPr>
              <w:keepNext/>
              <w:keepLines/>
              <w:spacing w:before="20" w:after="20"/>
              <w:rPr>
                <w:rFonts w:cs="Arial"/>
                <w:sz w:val="20"/>
                <w:szCs w:val="20"/>
              </w:rPr>
            </w:pPr>
            <w:r>
              <w:rPr>
                <w:rFonts w:cs="Arial"/>
                <w:sz w:val="20"/>
                <w:szCs w:val="20"/>
              </w:rPr>
              <w:t>Revisions for submittal of version 01.</w:t>
            </w:r>
          </w:p>
        </w:tc>
      </w:tr>
      <w:tr w:rsidR="00310436" w:rsidRPr="00CA1CB3" w14:paraId="06DD295F" w14:textId="77777777" w:rsidTr="000843C8">
        <w:trPr>
          <w:trHeight w:val="20"/>
        </w:trPr>
        <w:tc>
          <w:tcPr>
            <w:tcW w:w="503" w:type="pct"/>
          </w:tcPr>
          <w:p w14:paraId="6FE6D66A" w14:textId="77777777" w:rsidR="00310436" w:rsidRPr="00CA1CB3" w:rsidRDefault="00310436" w:rsidP="00C53287">
            <w:pPr>
              <w:keepNext/>
              <w:keepLines/>
              <w:spacing w:before="20" w:after="20"/>
              <w:rPr>
                <w:rFonts w:cs="Arial"/>
                <w:sz w:val="20"/>
                <w:szCs w:val="20"/>
              </w:rPr>
            </w:pPr>
          </w:p>
        </w:tc>
        <w:tc>
          <w:tcPr>
            <w:tcW w:w="842" w:type="pct"/>
          </w:tcPr>
          <w:p w14:paraId="05BC915B" w14:textId="058BC69D" w:rsidR="00310436" w:rsidRDefault="00310436" w:rsidP="00C53287">
            <w:pPr>
              <w:keepNext/>
              <w:keepLines/>
              <w:spacing w:before="20" w:after="20"/>
              <w:rPr>
                <w:rFonts w:cs="Arial"/>
                <w:sz w:val="20"/>
                <w:szCs w:val="20"/>
              </w:rPr>
            </w:pPr>
            <w:r>
              <w:rPr>
                <w:rFonts w:cs="Arial"/>
                <w:sz w:val="20"/>
                <w:szCs w:val="20"/>
              </w:rPr>
              <w:t>4/6/2020</w:t>
            </w:r>
          </w:p>
        </w:tc>
        <w:tc>
          <w:tcPr>
            <w:tcW w:w="915" w:type="pct"/>
          </w:tcPr>
          <w:p w14:paraId="2E20F274" w14:textId="46A766B1" w:rsidR="00310436" w:rsidRPr="006843C1" w:rsidRDefault="00310436" w:rsidP="00C53287">
            <w:pPr>
              <w:keepNext/>
              <w:keepLines/>
              <w:spacing w:before="20" w:after="20"/>
              <w:rPr>
                <w:rFonts w:cs="Arial"/>
                <w:sz w:val="20"/>
                <w:szCs w:val="20"/>
              </w:rPr>
            </w:pPr>
            <w:r>
              <w:rPr>
                <w:rFonts w:cs="Arial"/>
                <w:sz w:val="20"/>
                <w:szCs w:val="20"/>
              </w:rPr>
              <w:t>Jay Madden, SCE</w:t>
            </w:r>
          </w:p>
        </w:tc>
        <w:tc>
          <w:tcPr>
            <w:tcW w:w="2740" w:type="pct"/>
          </w:tcPr>
          <w:p w14:paraId="41020DEE" w14:textId="7D6D8D9B" w:rsidR="00310436" w:rsidRDefault="00310436" w:rsidP="00C53287">
            <w:pPr>
              <w:keepNext/>
              <w:keepLines/>
              <w:spacing w:before="20" w:after="20"/>
              <w:rPr>
                <w:rFonts w:cs="Arial"/>
                <w:sz w:val="20"/>
                <w:szCs w:val="20"/>
              </w:rPr>
            </w:pPr>
            <w:r>
              <w:rPr>
                <w:rFonts w:cs="Arial"/>
                <w:sz w:val="20"/>
                <w:szCs w:val="20"/>
              </w:rPr>
              <w:t>Added gas-fired water heater baseline.</w:t>
            </w:r>
            <w:bookmarkStart w:id="79" w:name="_GoBack"/>
            <w:bookmarkEnd w:id="79"/>
          </w:p>
        </w:tc>
      </w:tr>
      <w:bookmarkEnd w:id="78"/>
    </w:tbl>
    <w:p w14:paraId="3D87D3C2" w14:textId="77777777" w:rsidR="00387072" w:rsidRDefault="00387072" w:rsidP="00387072"/>
    <w:p w14:paraId="718EF464" w14:textId="77777777" w:rsidR="00A72BE0" w:rsidRDefault="00A72BE0"/>
    <w:sectPr w:rsidR="00A72BE0" w:rsidSect="005F505E">
      <w:headerReference w:type="default" r:id="rId19"/>
      <w:headerReference w:type="first" r:id="rId20"/>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0ADF90" w14:textId="77777777" w:rsidR="009961D4" w:rsidRDefault="009961D4" w:rsidP="00A2690C">
      <w:r>
        <w:separator/>
      </w:r>
    </w:p>
    <w:p w14:paraId="652F7C9D" w14:textId="77777777" w:rsidR="009961D4" w:rsidRDefault="009961D4"/>
  </w:endnote>
  <w:endnote w:type="continuationSeparator" w:id="0">
    <w:p w14:paraId="65CC78C4" w14:textId="77777777" w:rsidR="009961D4" w:rsidRDefault="009961D4" w:rsidP="00A2690C">
      <w:r>
        <w:continuationSeparator/>
      </w:r>
    </w:p>
    <w:p w14:paraId="7041D862" w14:textId="77777777" w:rsidR="009961D4" w:rsidRDefault="009961D4"/>
  </w:endnote>
  <w:endnote w:type="continuationNotice" w:id="1">
    <w:p w14:paraId="760056CB" w14:textId="77777777" w:rsidR="009961D4" w:rsidRDefault="009961D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Next">
    <w:altName w:val="Corbel"/>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B6217" w14:textId="77777777" w:rsidR="0021616E" w:rsidRDefault="0021616E"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67F68FDA" wp14:editId="78F99002">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170EDE1B" w14:textId="77777777" w:rsidR="0021616E" w:rsidRPr="00B837C1" w:rsidRDefault="0021616E"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387F1" w14:textId="77777777" w:rsidR="0021616E" w:rsidRDefault="0021616E"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1916998F" wp14:editId="130DCE1B">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C52F4AE" w14:textId="77777777" w:rsidR="0021616E" w:rsidRPr="00B837C1" w:rsidRDefault="0021616E"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sidR="0017194E">
      <w:rPr>
        <w:rStyle w:val="PageNumber"/>
        <w:noProof/>
        <w:sz w:val="14"/>
        <w:szCs w:val="14"/>
      </w:rPr>
      <w:t>12</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4C7B4" w14:textId="77777777" w:rsidR="0021616E" w:rsidRDefault="0021616E"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1" behindDoc="0" locked="0" layoutInCell="1" allowOverlap="1" wp14:anchorId="7600F3CD" wp14:editId="1D95F14B">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3FE27BF" w14:textId="77777777" w:rsidR="0021616E" w:rsidRPr="005F505E" w:rsidRDefault="0021616E"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sidR="0017194E">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07F28" w14:textId="77777777" w:rsidR="009961D4" w:rsidRDefault="009961D4" w:rsidP="00A2690C">
      <w:r>
        <w:separator/>
      </w:r>
    </w:p>
    <w:p w14:paraId="321AF561" w14:textId="77777777" w:rsidR="009961D4" w:rsidRDefault="009961D4"/>
  </w:footnote>
  <w:footnote w:type="continuationSeparator" w:id="0">
    <w:p w14:paraId="0978F637" w14:textId="77777777" w:rsidR="009961D4" w:rsidRDefault="009961D4" w:rsidP="00A2690C">
      <w:r>
        <w:continuationSeparator/>
      </w:r>
    </w:p>
    <w:p w14:paraId="008A4C3D" w14:textId="77777777" w:rsidR="009961D4" w:rsidRDefault="009961D4"/>
  </w:footnote>
  <w:footnote w:type="continuationNotice" w:id="1">
    <w:p w14:paraId="6A8D8770" w14:textId="77777777" w:rsidR="009961D4" w:rsidRDefault="009961D4">
      <w:pPr>
        <w:spacing w:before="0" w:after="0" w:line="240" w:lineRule="auto"/>
      </w:pPr>
    </w:p>
  </w:footnote>
  <w:footnote w:id="2">
    <w:p w14:paraId="1C567A6D" w14:textId="77777777" w:rsidR="0021616E" w:rsidRDefault="0021616E">
      <w:pPr>
        <w:pStyle w:val="FootnoteText"/>
      </w:pPr>
      <w:r>
        <w:rPr>
          <w:rStyle w:val="FootnoteReference"/>
        </w:rPr>
        <w:footnoteRef/>
      </w:r>
      <w:r>
        <w:t xml:space="preserve"> </w:t>
      </w:r>
      <w:proofErr w:type="spellStart"/>
      <w:r w:rsidRPr="001C78B3">
        <w:rPr>
          <w:rStyle w:val="eTRMFootnoteTextChar"/>
        </w:rPr>
        <w:t>Ciani</w:t>
      </w:r>
      <w:proofErr w:type="spellEnd"/>
      <w:r w:rsidRPr="001C78B3">
        <w:rPr>
          <w:rStyle w:val="eTRMFootnoteTextChar"/>
        </w:rPr>
        <w:t xml:space="preserve">, A. (Russell Research). 2018. </w:t>
      </w:r>
      <w:r w:rsidRPr="001C78B3">
        <w:rPr>
          <w:rStyle w:val="eTRMFootnoteTextChar"/>
          <w:i/>
        </w:rPr>
        <w:t>Water Heater Market Characterization Report.</w:t>
      </w:r>
      <w:r w:rsidRPr="001C78B3">
        <w:rPr>
          <w:rStyle w:val="eTRMFootnoteTextChar"/>
        </w:rPr>
        <w:t xml:space="preserve"> Prepared for the Northwest Energy Efficiency Alliance (NEEA). Report # E18-395. April 3.</w:t>
      </w:r>
    </w:p>
  </w:footnote>
  <w:footnote w:id="3">
    <w:p w14:paraId="3CA37992" w14:textId="77777777" w:rsidR="0021616E" w:rsidRDefault="0021616E">
      <w:pPr>
        <w:pStyle w:val="FootnoteText"/>
      </w:pPr>
      <w:r>
        <w:rPr>
          <w:rStyle w:val="FootnoteReference"/>
        </w:rPr>
        <w:footnoteRef/>
      </w:r>
      <w:r>
        <w:t xml:space="preserve"> </w:t>
      </w:r>
      <w:r w:rsidRPr="002049CA">
        <w:t>California Public Utilities Commission (CPUC), Energy Division. 2017. “DEER2019 and Revised DEER2017 + DEER2018 Updates.” July 18.</w:t>
      </w:r>
    </w:p>
  </w:footnote>
  <w:footnote w:id="4">
    <w:p w14:paraId="6CD4A2FE" w14:textId="74C75E57" w:rsidR="0021616E" w:rsidRDefault="0021616E">
      <w:pPr>
        <w:pStyle w:val="FootnoteText"/>
      </w:pPr>
      <w:r>
        <w:rPr>
          <w:rStyle w:val="FootnoteReference"/>
        </w:rPr>
        <w:footnoteRef/>
      </w:r>
      <w:r>
        <w:t xml:space="preserve"> DNV GL. 2014. </w:t>
      </w:r>
      <w:r>
        <w:rPr>
          <w:rStyle w:val="Emphasis"/>
        </w:rPr>
        <w:t>WO21: Residential On-site Study: California Lighting and Appliance Saturation Study (CLASS 2012).</w:t>
      </w:r>
      <w:r>
        <w:t xml:space="preserve"> Prepared for the California Public Utilities Commission, Energy Division. CALMAC Study ID: CPU0095.01.</w:t>
      </w:r>
    </w:p>
  </w:footnote>
  <w:footnote w:id="5">
    <w:p w14:paraId="667BA4F0" w14:textId="77777777" w:rsidR="0021616E" w:rsidRDefault="0021616E" w:rsidP="00C80C62">
      <w:pPr>
        <w:pStyle w:val="FootnoteText"/>
      </w:pPr>
      <w:r>
        <w:rPr>
          <w:rStyle w:val="FootnoteReference"/>
        </w:rPr>
        <w:footnoteRef/>
      </w:r>
      <w:r>
        <w:t xml:space="preserve"> </w:t>
      </w:r>
      <w:r w:rsidRPr="00B86016">
        <w:rPr>
          <w:rStyle w:val="eTRMFootnoteTextChar"/>
        </w:rPr>
        <w:t xml:space="preserve">U.S. Department of Energy (DOE). 2016. </w:t>
      </w:r>
      <w:r>
        <w:rPr>
          <w:rStyle w:val="eTRMFootnoteTextChar"/>
        </w:rPr>
        <w:t>“</w:t>
      </w:r>
      <w:r w:rsidRPr="00B86016">
        <w:rPr>
          <w:rStyle w:val="eTRMFootnoteTextChar"/>
        </w:rPr>
        <w:t>Energy Conservation Program for Consumer Products and Certain Commercial and Industrial Equipment: Test Procedures for Consumer and Commercial Water Heaters.</w:t>
      </w:r>
      <w:r>
        <w:rPr>
          <w:rStyle w:val="eTRMFootnoteTextChar"/>
        </w:rPr>
        <w:t>”</w:t>
      </w:r>
      <w:r w:rsidRPr="00B86016">
        <w:rPr>
          <w:rStyle w:val="eTRMFootnoteTextChar"/>
        </w:rPr>
        <w:t> </w:t>
      </w:r>
      <w:r w:rsidRPr="00B86016">
        <w:rPr>
          <w:rStyle w:val="eTRMFootnoteTextChar"/>
          <w:i/>
        </w:rPr>
        <w:t>Federal Register: The Daily Journal of the United States.</w:t>
      </w:r>
      <w:r w:rsidRPr="00B86016">
        <w:rPr>
          <w:rStyle w:val="eTRMFootnoteTextChar"/>
        </w:rPr>
        <w:t xml:space="preserve"> 81 Fed. Reg. 250. December 29, 2016.</w:t>
      </w:r>
    </w:p>
  </w:footnote>
  <w:footnote w:id="6">
    <w:p w14:paraId="30736F4B" w14:textId="77777777" w:rsidR="0021616E" w:rsidRDefault="0021616E" w:rsidP="00C80C62">
      <w:pPr>
        <w:pStyle w:val="FootnoteText"/>
      </w:pPr>
      <w:r>
        <w:rPr>
          <w:rStyle w:val="FootnoteReference"/>
        </w:rPr>
        <w:footnoteRef/>
      </w:r>
      <w:r>
        <w:t xml:space="preserve"> A.O. Smith. (n.d.) “</w:t>
      </w:r>
      <w:r w:rsidRPr="00EF0CFD">
        <w:t xml:space="preserve">What Does UEF Mean </w:t>
      </w:r>
      <w:proofErr w:type="gramStart"/>
      <w:r w:rsidRPr="00EF0CFD">
        <w:t>To</w:t>
      </w:r>
      <w:proofErr w:type="gramEnd"/>
      <w:r w:rsidRPr="00EF0CFD">
        <w:t xml:space="preserve"> You?</w:t>
      </w:r>
      <w:r>
        <w:rPr>
          <w:i/>
        </w:rPr>
        <w:t>”</w:t>
      </w:r>
      <w:r>
        <w:t xml:space="preserve"> </w:t>
      </w:r>
    </w:p>
    <w:p w14:paraId="57815D7F" w14:textId="77777777" w:rsidR="0021616E" w:rsidRPr="008272BA" w:rsidRDefault="0021616E" w:rsidP="00C80C62">
      <w:pPr>
        <w:pStyle w:val="FootnoteText"/>
      </w:pPr>
    </w:p>
  </w:footnote>
  <w:footnote w:id="7">
    <w:p w14:paraId="18ECB565" w14:textId="77777777" w:rsidR="0021616E" w:rsidRDefault="0021616E" w:rsidP="00AA58CB">
      <w:pPr>
        <w:pStyle w:val="FootnoteText"/>
      </w:pPr>
      <w:r>
        <w:rPr>
          <w:rStyle w:val="FootnoteReference"/>
        </w:rPr>
        <w:footnoteRef/>
      </w:r>
      <w:r>
        <w:t xml:space="preserve"> </w:t>
      </w:r>
      <w:r w:rsidRPr="00A7691F">
        <w:t>California Public Utilities Commission (CPUC), Energy Division. 2017. DEER2015 Small Storage and Small Instantaneous Water Heater Energy Use Calculator. "DEER-WaterHeater-Calculator-v2.1.xlsm." Updated July 10, 2017.</w:t>
      </w:r>
    </w:p>
  </w:footnote>
  <w:footnote w:id="8">
    <w:p w14:paraId="74A2DBF6" w14:textId="77777777" w:rsidR="0021616E" w:rsidRDefault="0021616E" w:rsidP="00575EF3">
      <w:pPr>
        <w:spacing w:before="0" w:after="0" w:line="240" w:lineRule="auto"/>
      </w:pPr>
      <w:r>
        <w:rPr>
          <w:rStyle w:val="FootnoteReference"/>
        </w:rPr>
        <w:footnoteRef/>
      </w:r>
      <w:r>
        <w:t xml:space="preserve"> </w:t>
      </w:r>
      <w:r w:rsidRPr="00CB015D">
        <w:rPr>
          <w:rStyle w:val="eTRMFootnoteTextChar"/>
        </w:rPr>
        <w:t>California Public Utilities Commission (CPUC), Energy Division. 2014. "DEER2015 Service and Domestic Water Heater Measures Update." October 1. Page 3.</w:t>
      </w:r>
    </w:p>
  </w:footnote>
  <w:footnote w:id="9">
    <w:p w14:paraId="26DD6EAB" w14:textId="77777777" w:rsidR="0021616E" w:rsidRDefault="0021616E" w:rsidP="00575EF3">
      <w:pPr>
        <w:spacing w:before="0" w:after="0" w:line="240" w:lineRule="auto"/>
      </w:pPr>
      <w:r>
        <w:rPr>
          <w:rStyle w:val="FootnoteReference"/>
        </w:rPr>
        <w:footnoteRef/>
      </w:r>
      <w:r>
        <w:t xml:space="preserve"> </w:t>
      </w:r>
      <w:r w:rsidRPr="00CB015D">
        <w:rPr>
          <w:rStyle w:val="eTRMFootnoteTextChar"/>
        </w:rPr>
        <w:t xml:space="preserve">California Public Utilities Commission (CPUC), Energy Division. 2014. "DEER2015 Service and Domestic Water Heater Measures Update." October 1. Page </w:t>
      </w:r>
      <w:r>
        <w:rPr>
          <w:rStyle w:val="eTRMFootnoteTextChar"/>
        </w:rPr>
        <w:t>10</w:t>
      </w:r>
      <w:r w:rsidRPr="00CB015D">
        <w:rPr>
          <w:rStyle w:val="eTRMFootnoteTextChar"/>
        </w:rPr>
        <w:t>.</w:t>
      </w:r>
    </w:p>
  </w:footnote>
  <w:footnote w:id="10">
    <w:p w14:paraId="17EB6B2B" w14:textId="77777777" w:rsidR="0021616E" w:rsidRDefault="0021616E">
      <w:pPr>
        <w:pStyle w:val="FootnoteText"/>
      </w:pPr>
      <w:r>
        <w:rPr>
          <w:rStyle w:val="FootnoteReference"/>
        </w:rPr>
        <w:footnoteRef/>
      </w:r>
      <w:r>
        <w:t xml:space="preserve"> </w:t>
      </w:r>
      <w:r w:rsidRPr="00A7691F">
        <w:t>California Public Utilities Commission (CPUC), Energy Division. 201</w:t>
      </w:r>
      <w:r>
        <w:t>8</w:t>
      </w:r>
      <w:r w:rsidRPr="00A7691F">
        <w:t xml:space="preserve">. </w:t>
      </w:r>
      <w:r>
        <w:t>“</w:t>
      </w:r>
      <w:r w:rsidRPr="00A7691F">
        <w:t>DEER201</w:t>
      </w:r>
      <w:r>
        <w:t>9</w:t>
      </w:r>
      <w:r w:rsidRPr="00A7691F">
        <w:t xml:space="preserve"> Small Storage and Small Instantaneous Water Heater Energy Use Calculator.</w:t>
      </w:r>
      <w:r>
        <w:t>”</w:t>
      </w:r>
      <w:r w:rsidRPr="00A7691F">
        <w:t xml:space="preserve"> </w:t>
      </w:r>
      <w:r>
        <w:t>“</w:t>
      </w:r>
      <w:r w:rsidRPr="00FD1019">
        <w:t>DEER-WaterHeater-Calculator-v3.2_rev25Sep2018.xlsm</w:t>
      </w:r>
      <w:r w:rsidRPr="00A7691F">
        <w:t>.</w:t>
      </w:r>
      <w:r>
        <w:t>”</w:t>
      </w:r>
      <w:r w:rsidRPr="00A7691F">
        <w:t xml:space="preserve"> </w:t>
      </w:r>
      <w:r>
        <w:t>September 25.</w:t>
      </w:r>
    </w:p>
  </w:footnote>
  <w:footnote w:id="11">
    <w:p w14:paraId="4CCE52E8" w14:textId="206DAC82" w:rsidR="0021616E" w:rsidRDefault="0021616E">
      <w:pPr>
        <w:pStyle w:val="FootnoteText"/>
      </w:pPr>
      <w:r>
        <w:rPr>
          <w:rStyle w:val="FootnoteReference"/>
        </w:rPr>
        <w:footnoteRef/>
      </w:r>
      <w:r>
        <w:t xml:space="preserve"> California Public Utilities Commission (CPUC). 2018. </w:t>
      </w:r>
      <w:r>
        <w:rPr>
          <w:rStyle w:val="Emphasis"/>
        </w:rPr>
        <w:t>Resolution E-4952.</w:t>
      </w:r>
      <w:r>
        <w:t xml:space="preserve"> October 11. Op 1.</w:t>
      </w:r>
    </w:p>
  </w:footnote>
  <w:footnote w:id="12">
    <w:p w14:paraId="0B85B1AB" w14:textId="0CD34189" w:rsidR="0021616E" w:rsidRDefault="0021616E">
      <w:pPr>
        <w:pStyle w:val="FootnoteText"/>
      </w:pPr>
      <w:r>
        <w:rPr>
          <w:rStyle w:val="FootnoteReference"/>
        </w:rPr>
        <w:footnoteRef/>
      </w:r>
      <w:r>
        <w:t xml:space="preserve"> Southern California Edison (SCE). 2019. “SWWH014-01 Peak Demand Calc 2019.02.28.xlsm.”</w:t>
      </w:r>
    </w:p>
  </w:footnote>
  <w:footnote w:id="13">
    <w:p w14:paraId="3D7B0A51" w14:textId="77777777" w:rsidR="0021616E" w:rsidRDefault="0021616E" w:rsidP="00B91A84">
      <w:pPr>
        <w:pStyle w:val="FootnoteText"/>
        <w:rPr>
          <w:rStyle w:val="eTRMFootnoteTextChar"/>
        </w:rPr>
      </w:pPr>
      <w:r>
        <w:rPr>
          <w:rStyle w:val="FootnoteReference"/>
        </w:rPr>
        <w:footnoteRef/>
      </w:r>
      <w:r>
        <w:t xml:space="preserve"> </w:t>
      </w:r>
      <w:proofErr w:type="spellStart"/>
      <w:r w:rsidRPr="00B67D47">
        <w:rPr>
          <w:rStyle w:val="eTRMFootnoteTextChar"/>
        </w:rPr>
        <w:t>Itron</w:t>
      </w:r>
      <w:proofErr w:type="spellEnd"/>
      <w:r w:rsidRPr="00B67D47">
        <w:rPr>
          <w:rStyle w:val="eTRMFootnoteTextChar"/>
        </w:rPr>
        <w:t xml:space="preserve">, Inc. 2014. </w:t>
      </w:r>
      <w:r w:rsidRPr="00B67D47">
        <w:rPr>
          <w:rStyle w:val="eTRMFootnoteTextChar"/>
          <w:i/>
        </w:rPr>
        <w:t>2010-2012 WO017 Ex Ante Measure Cost Study Final Report.</w:t>
      </w:r>
      <w:r w:rsidRPr="00B67D47">
        <w:rPr>
          <w:rStyle w:val="eTRMFootnoteTextChar"/>
        </w:rPr>
        <w:t xml:space="preserve"> Prepared for the California Public Utilities Commission.</w:t>
      </w:r>
    </w:p>
    <w:p w14:paraId="34479A05" w14:textId="77777777" w:rsidR="0021616E" w:rsidRDefault="0021616E" w:rsidP="00B91A84">
      <w:pPr>
        <w:pStyle w:val="FootnoteText"/>
      </w:pPr>
      <w:r>
        <w:t>Southern California Edison (SCE). 2017. “SCE17WH001.0 A3 – Costs Calculations.xlsx.”</w:t>
      </w:r>
    </w:p>
  </w:footnote>
  <w:footnote w:id="14">
    <w:p w14:paraId="39EC8E6E" w14:textId="77777777" w:rsidR="0021616E" w:rsidRDefault="0021616E">
      <w:pPr>
        <w:pStyle w:val="FootnoteText"/>
      </w:pPr>
      <w:r>
        <w:rPr>
          <w:rStyle w:val="FootnoteReference"/>
        </w:rPr>
        <w:footnoteRef/>
      </w:r>
      <w:r>
        <w:t xml:space="preserve"> </w:t>
      </w:r>
      <w:r w:rsidRPr="00C22794">
        <w:t>Gordian. (n.d.) “</w:t>
      </w:r>
      <w:proofErr w:type="spellStart"/>
      <w:r w:rsidRPr="00C22794">
        <w:t>RSMeans</w:t>
      </w:r>
      <w:proofErr w:type="spellEnd"/>
      <w:r w:rsidRPr="00C22794">
        <w:t xml:space="preserve"> Cost Index.pdf.”</w:t>
      </w:r>
    </w:p>
  </w:footnote>
  <w:footnote w:id="15">
    <w:p w14:paraId="4320D8EB" w14:textId="77777777" w:rsidR="0021616E" w:rsidRDefault="0021616E">
      <w:pPr>
        <w:pStyle w:val="FootnoteText"/>
      </w:pPr>
      <w:r>
        <w:rPr>
          <w:rStyle w:val="FootnoteReference"/>
        </w:rPr>
        <w:footnoteRef/>
      </w:r>
      <w:r>
        <w:t xml:space="preserve"> </w:t>
      </w:r>
      <w:r w:rsidRPr="007956B1">
        <w:t>Southern California Edison (SCE). 2018. "SCE17WH001.2 A3 - Costs Calculations.xlsx."</w:t>
      </w:r>
    </w:p>
  </w:footnote>
  <w:footnote w:id="16">
    <w:p w14:paraId="5E2E89BC" w14:textId="77777777" w:rsidR="0021616E" w:rsidRDefault="0021616E">
      <w:pPr>
        <w:pStyle w:val="FootnoteText"/>
      </w:pPr>
      <w:r>
        <w:rPr>
          <w:rStyle w:val="FootnoteReference"/>
        </w:rPr>
        <w:footnoteRef/>
      </w:r>
      <w:r>
        <w:t xml:space="preserve"> </w:t>
      </w:r>
      <w:r>
        <w:rPr>
          <w:szCs w:val="22"/>
        </w:rPr>
        <w:t xml:space="preserve">Heat pump water heaters of 3.24 EF or greater were not included in 2010-2012 Ex Ante Measure Cost Study conducted by </w:t>
      </w:r>
      <w:proofErr w:type="spellStart"/>
      <w:r>
        <w:rPr>
          <w:szCs w:val="22"/>
        </w:rPr>
        <w:t>Itron</w:t>
      </w:r>
      <w:proofErr w:type="spellEnd"/>
      <w:r>
        <w:rPr>
          <w:szCs w:val="22"/>
        </w:rPr>
        <w:t xml:space="preserve">, Inc. </w:t>
      </w:r>
    </w:p>
  </w:footnote>
  <w:footnote w:id="17">
    <w:p w14:paraId="3A66CD62" w14:textId="77777777" w:rsidR="0021616E" w:rsidRDefault="0021616E" w:rsidP="00BF5CC8">
      <w:pPr>
        <w:pStyle w:val="FootnoteText"/>
        <w:rPr>
          <w:rStyle w:val="eTRMFootnoteTextChar"/>
        </w:rPr>
      </w:pPr>
      <w:r>
        <w:rPr>
          <w:rStyle w:val="FootnoteReference"/>
        </w:rPr>
        <w:footnoteRef/>
      </w:r>
      <w:r>
        <w:t xml:space="preserve"> </w:t>
      </w:r>
      <w:proofErr w:type="spellStart"/>
      <w:r w:rsidRPr="00B67D47">
        <w:rPr>
          <w:rStyle w:val="eTRMFootnoteTextChar"/>
        </w:rPr>
        <w:t>Itron</w:t>
      </w:r>
      <w:proofErr w:type="spellEnd"/>
      <w:r w:rsidRPr="00B67D47">
        <w:rPr>
          <w:rStyle w:val="eTRMFootnoteTextChar"/>
        </w:rPr>
        <w:t xml:space="preserve">, Inc. 2014. </w:t>
      </w:r>
      <w:r w:rsidRPr="00B67D47">
        <w:rPr>
          <w:rStyle w:val="eTRMFootnoteTextChar"/>
          <w:i/>
        </w:rPr>
        <w:t>2010-2012 WO017 Ex Ante Measure Cost Study Final Report.</w:t>
      </w:r>
      <w:r w:rsidRPr="00B67D47">
        <w:rPr>
          <w:rStyle w:val="eTRMFootnoteTextChar"/>
        </w:rPr>
        <w:t xml:space="preserve"> Prepared for the California Public Utilities Commission.</w:t>
      </w:r>
    </w:p>
    <w:p w14:paraId="14E20B83" w14:textId="77777777" w:rsidR="0021616E" w:rsidRDefault="0021616E" w:rsidP="00BF5CC8">
      <w:pPr>
        <w:pStyle w:val="FootnoteText"/>
      </w:pPr>
      <w:r>
        <w:t>Southern California Edison (SCE). 2017. “SCE17WH001.0 A3 – Costs Calculations.xlsx.”</w:t>
      </w:r>
    </w:p>
  </w:footnote>
  <w:footnote w:id="18">
    <w:p w14:paraId="3EE04B13" w14:textId="77777777" w:rsidR="0021616E" w:rsidRDefault="0021616E" w:rsidP="00BF5CC8">
      <w:pPr>
        <w:pStyle w:val="FootnoteText"/>
      </w:pPr>
      <w:r>
        <w:rPr>
          <w:rStyle w:val="FootnoteReference"/>
        </w:rPr>
        <w:footnoteRef/>
      </w:r>
      <w:r>
        <w:t xml:space="preserve"> </w:t>
      </w:r>
      <w:r w:rsidRPr="00C22794">
        <w:t>Gordian. (n.d.) “</w:t>
      </w:r>
      <w:proofErr w:type="spellStart"/>
      <w:r w:rsidRPr="00C22794">
        <w:t>RSMeans</w:t>
      </w:r>
      <w:proofErr w:type="spellEnd"/>
      <w:r w:rsidRPr="00C22794">
        <w:t xml:space="preserve"> Cost Index.pdf.”</w:t>
      </w:r>
    </w:p>
  </w:footnote>
  <w:footnote w:id="19">
    <w:p w14:paraId="3DACF15E" w14:textId="77777777" w:rsidR="0021616E" w:rsidRDefault="0021616E" w:rsidP="00B91A84">
      <w:pPr>
        <w:pStyle w:val="FootnoteText"/>
      </w:pPr>
      <w:r>
        <w:rPr>
          <w:rStyle w:val="FootnoteReference"/>
        </w:rPr>
        <w:footnoteRef/>
      </w:r>
      <w:r>
        <w:t xml:space="preserve"> </w:t>
      </w:r>
      <w:proofErr w:type="spellStart"/>
      <w:r w:rsidRPr="00864E31">
        <w:t>Itron</w:t>
      </w:r>
      <w:proofErr w:type="spellEnd"/>
      <w:r w:rsidRPr="00864E31">
        <w:t>, Inc. 2014</w:t>
      </w:r>
      <w:r w:rsidRPr="00864E31">
        <w:rPr>
          <w:i/>
        </w:rPr>
        <w:t>. 2010-2012 WO017 Ex Ante Measure Cost Study Final Report.</w:t>
      </w:r>
      <w:r w:rsidRPr="00864E31">
        <w:t xml:space="preserve"> Prepared for the California Public Utilities Commission.</w:t>
      </w:r>
    </w:p>
  </w:footnote>
  <w:footnote w:id="20">
    <w:p w14:paraId="2EB47858" w14:textId="77777777" w:rsidR="0021616E" w:rsidRDefault="0021616E" w:rsidP="00BF5CC8">
      <w:pPr>
        <w:pStyle w:val="FootnoteText"/>
      </w:pPr>
      <w:r>
        <w:rPr>
          <w:rStyle w:val="FootnoteReference"/>
        </w:rPr>
        <w:footnoteRef/>
      </w:r>
      <w:r>
        <w:t xml:space="preserve"> </w:t>
      </w:r>
      <w:r w:rsidRPr="00C22794">
        <w:t>Gordian. (n.d.) “</w:t>
      </w:r>
      <w:proofErr w:type="spellStart"/>
      <w:r w:rsidRPr="00C22794">
        <w:t>RSMeans</w:t>
      </w:r>
      <w:proofErr w:type="spellEnd"/>
      <w:r w:rsidRPr="00C22794">
        <w:t xml:space="preserve"> Cost Index.pdf.”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12975" w14:textId="77777777" w:rsidR="0021616E" w:rsidRPr="000220A0" w:rsidRDefault="0021616E"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3CCD9" w14:textId="77777777" w:rsidR="0021616E" w:rsidRDefault="0021616E">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3E6673B4" w14:textId="77777777" w:rsidR="0021616E" w:rsidRDefault="002161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B8F66" w14:textId="77777777" w:rsidR="0021616E" w:rsidRDefault="0021616E" w:rsidP="00BD221D">
    <w:pPr>
      <w:jc w:val="center"/>
    </w:pPr>
  </w:p>
  <w:p w14:paraId="0A891273" w14:textId="77777777" w:rsidR="0021616E" w:rsidRDefault="0021616E" w:rsidP="00BD221D">
    <w:pPr>
      <w:jc w:val="center"/>
    </w:pPr>
    <w:r>
      <w:rPr>
        <w:noProof/>
      </w:rPr>
      <w:drawing>
        <wp:inline distT="0" distB="0" distL="0" distR="0" wp14:anchorId="13A89C68" wp14:editId="4684F6E8">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F6050" w14:textId="77777777" w:rsidR="0021616E" w:rsidRDefault="0021616E" w:rsidP="001D7A57">
    <w:pPr>
      <w:pStyle w:val="Header"/>
    </w:pPr>
    <w:r>
      <w:rPr>
        <w:rFonts w:ascii="Calibri Light" w:hAnsi="Calibri Light"/>
      </w:rPr>
      <w:t xml:space="preserve">SERVICE &amp; DOMESTIC HOT WATER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Heat Pump Water Heater</w:t>
    </w:r>
  </w:p>
  <w:p w14:paraId="533EB481" w14:textId="77777777" w:rsidR="0021616E" w:rsidRDefault="0021616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676BF" w14:textId="77777777" w:rsidR="0021616E" w:rsidRDefault="002161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CE40F1E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58743F0"/>
    <w:multiLevelType w:val="hybridMultilevel"/>
    <w:tmpl w:val="0D085F1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25C19D9"/>
    <w:multiLevelType w:val="multilevel"/>
    <w:tmpl w:val="746A82EE"/>
    <w:lvl w:ilvl="0">
      <w:start w:val="1"/>
      <w:numFmt w:val="decimal"/>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ascii="Arial" w:hAnsi="Arial" w:hint="default"/>
        <w:b w:val="0"/>
        <w:i w:val="0"/>
        <w:sz w:val="20"/>
      </w:rPr>
    </w:lvl>
    <w:lvl w:ilvl="4">
      <w:start w:val="1"/>
      <w:numFmt w:val="lowerLetter"/>
      <w:lvlText w:val="%5."/>
      <w:lvlJc w:val="left"/>
      <w:pPr>
        <w:tabs>
          <w:tab w:val="num" w:pos="2016"/>
        </w:tabs>
        <w:ind w:left="2016" w:hanging="432"/>
      </w:pPr>
      <w:rPr>
        <w:rFonts w:ascii="Arial" w:hAnsi="Arial" w:hint="default"/>
        <w:b w:val="0"/>
        <w:i w:val="0"/>
        <w:sz w:val="20"/>
      </w:rPr>
    </w:lvl>
    <w:lvl w:ilvl="5">
      <w:start w:val="1"/>
      <w:numFmt w:val="lowerRoman"/>
      <w:lvlText w:val="%6."/>
      <w:lvlJc w:val="left"/>
      <w:pPr>
        <w:tabs>
          <w:tab w:val="num" w:pos="2736"/>
        </w:tabs>
        <w:ind w:left="2448" w:hanging="432"/>
      </w:pPr>
      <w:rPr>
        <w:rFonts w:ascii="Arial" w:hAnsi="Arial" w:hint="default"/>
        <w:b w:val="0"/>
        <w:i w:val="0"/>
        <w:sz w:val="20"/>
      </w:rPr>
    </w:lvl>
    <w:lvl w:ilvl="6">
      <w:start w:val="1"/>
      <w:numFmt w:val="lowerLetter"/>
      <w:lvlText w:val="%7)"/>
      <w:lvlJc w:val="left"/>
      <w:pPr>
        <w:tabs>
          <w:tab w:val="num" w:pos="2880"/>
        </w:tabs>
        <w:ind w:left="2880" w:hanging="432"/>
      </w:pPr>
      <w:rPr>
        <w:rFonts w:ascii="Arial" w:hAnsi="Arial" w:hint="default"/>
        <w:b w:val="0"/>
        <w:i w:val="0"/>
        <w:sz w:val="20"/>
      </w:rPr>
    </w:lvl>
    <w:lvl w:ilvl="7">
      <w:start w:val="1"/>
      <w:numFmt w:val="lowerRoman"/>
      <w:lvlText w:val="%8)"/>
      <w:lvlJc w:val="left"/>
      <w:pPr>
        <w:tabs>
          <w:tab w:val="num" w:pos="3600"/>
        </w:tabs>
        <w:ind w:left="3312" w:hanging="432"/>
      </w:pPr>
      <w:rPr>
        <w:rFonts w:ascii="Arial" w:hAnsi="Arial" w:hint="default"/>
        <w:b w:val="0"/>
        <w:i w:val="0"/>
        <w:sz w:val="20"/>
      </w:rPr>
    </w:lvl>
    <w:lvl w:ilvl="8">
      <w:start w:val="27"/>
      <w:numFmt w:val="lowerLetter"/>
      <w:lvlText w:val="%9)"/>
      <w:lvlJc w:val="left"/>
      <w:pPr>
        <w:tabs>
          <w:tab w:val="num" w:pos="3744"/>
        </w:tabs>
        <w:ind w:left="3744" w:hanging="432"/>
      </w:pPr>
      <w:rPr>
        <w:rFonts w:ascii="Arial" w:hAnsi="Arial" w:hint="default"/>
        <w:b w:val="0"/>
        <w:i w:val="0"/>
        <w:sz w:val="20"/>
      </w:rPr>
    </w:lvl>
  </w:abstractNum>
  <w:abstractNum w:abstractNumId="3"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D6430C4"/>
    <w:multiLevelType w:val="hybridMultilevel"/>
    <w:tmpl w:val="C7B401D2"/>
    <w:lvl w:ilvl="0" w:tplc="31CA7F00">
      <w:start w:val="1"/>
      <w:numFmt w:val="decimal"/>
      <w:pStyle w:val="FIG"/>
      <w:lvlText w:val="Figure %1 -"/>
      <w:lvlJc w:val="center"/>
      <w:pPr>
        <w:tabs>
          <w:tab w:val="num" w:pos="720"/>
        </w:tabs>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23290" w:tentative="1">
      <w:start w:val="1"/>
      <w:numFmt w:val="lowerLetter"/>
      <w:lvlText w:val="%2."/>
      <w:lvlJc w:val="left"/>
      <w:pPr>
        <w:tabs>
          <w:tab w:val="num" w:pos="1440"/>
        </w:tabs>
        <w:ind w:left="1440" w:hanging="360"/>
      </w:pPr>
    </w:lvl>
    <w:lvl w:ilvl="2" w:tplc="4704E55A" w:tentative="1">
      <w:start w:val="1"/>
      <w:numFmt w:val="lowerRoman"/>
      <w:lvlText w:val="%3."/>
      <w:lvlJc w:val="right"/>
      <w:pPr>
        <w:tabs>
          <w:tab w:val="num" w:pos="2160"/>
        </w:tabs>
        <w:ind w:left="2160" w:hanging="180"/>
      </w:pPr>
    </w:lvl>
    <w:lvl w:ilvl="3" w:tplc="5578392C" w:tentative="1">
      <w:start w:val="1"/>
      <w:numFmt w:val="decimal"/>
      <w:lvlText w:val="%4."/>
      <w:lvlJc w:val="left"/>
      <w:pPr>
        <w:tabs>
          <w:tab w:val="num" w:pos="2880"/>
        </w:tabs>
        <w:ind w:left="2880" w:hanging="360"/>
      </w:pPr>
    </w:lvl>
    <w:lvl w:ilvl="4" w:tplc="BDD2CB94" w:tentative="1">
      <w:start w:val="1"/>
      <w:numFmt w:val="lowerLetter"/>
      <w:lvlText w:val="%5."/>
      <w:lvlJc w:val="left"/>
      <w:pPr>
        <w:tabs>
          <w:tab w:val="num" w:pos="3600"/>
        </w:tabs>
        <w:ind w:left="3600" w:hanging="360"/>
      </w:pPr>
    </w:lvl>
    <w:lvl w:ilvl="5" w:tplc="89C49758" w:tentative="1">
      <w:start w:val="1"/>
      <w:numFmt w:val="lowerRoman"/>
      <w:lvlText w:val="%6."/>
      <w:lvlJc w:val="right"/>
      <w:pPr>
        <w:tabs>
          <w:tab w:val="num" w:pos="4320"/>
        </w:tabs>
        <w:ind w:left="4320" w:hanging="180"/>
      </w:pPr>
    </w:lvl>
    <w:lvl w:ilvl="6" w:tplc="A34AF35C" w:tentative="1">
      <w:start w:val="1"/>
      <w:numFmt w:val="decimal"/>
      <w:lvlText w:val="%7."/>
      <w:lvlJc w:val="left"/>
      <w:pPr>
        <w:tabs>
          <w:tab w:val="num" w:pos="5040"/>
        </w:tabs>
        <w:ind w:left="5040" w:hanging="360"/>
      </w:pPr>
    </w:lvl>
    <w:lvl w:ilvl="7" w:tplc="CE3EDE72" w:tentative="1">
      <w:start w:val="1"/>
      <w:numFmt w:val="lowerLetter"/>
      <w:lvlText w:val="%8."/>
      <w:lvlJc w:val="left"/>
      <w:pPr>
        <w:tabs>
          <w:tab w:val="num" w:pos="5760"/>
        </w:tabs>
        <w:ind w:left="5760" w:hanging="360"/>
      </w:pPr>
    </w:lvl>
    <w:lvl w:ilvl="8" w:tplc="4CFE126E" w:tentative="1">
      <w:start w:val="1"/>
      <w:numFmt w:val="lowerRoman"/>
      <w:lvlText w:val="%9."/>
      <w:lvlJc w:val="right"/>
      <w:pPr>
        <w:tabs>
          <w:tab w:val="num" w:pos="6480"/>
        </w:tabs>
        <w:ind w:left="6480" w:hanging="180"/>
      </w:pPr>
    </w:lvl>
  </w:abstractNum>
  <w:abstractNum w:abstractNumId="8" w15:restartNumberingAfterBreak="0">
    <w:nsid w:val="571C14A7"/>
    <w:multiLevelType w:val="hybridMultilevel"/>
    <w:tmpl w:val="ED30E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0" w15:restartNumberingAfterBreak="0">
    <w:nsid w:val="5E21731C"/>
    <w:multiLevelType w:val="hybridMultilevel"/>
    <w:tmpl w:val="9EDCD1E6"/>
    <w:lvl w:ilvl="0" w:tplc="D488DE60">
      <w:start w:val="1"/>
      <w:numFmt w:val="decimal"/>
      <w:pStyle w:val="TBL"/>
      <w:lvlText w:val="Table %1 - "/>
      <w:lvlJc w:val="left"/>
      <w:pPr>
        <w:ind w:left="108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C4134B"/>
    <w:multiLevelType w:val="hybridMultilevel"/>
    <w:tmpl w:val="B3820A4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6FC07B80"/>
    <w:multiLevelType w:val="hybridMultilevel"/>
    <w:tmpl w:val="C84A5CF4"/>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pStyle w:val="WPPR2"/>
      <w:lvlText w:val="%1.%2.%3.%4"/>
      <w:lvlJc w:val="left"/>
      <w:pPr>
        <w:ind w:left="1584" w:hanging="864"/>
      </w:pPr>
      <w:rPr>
        <w:rFonts w:hint="default"/>
      </w:rPr>
    </w:lvl>
    <w:lvl w:ilvl="4">
      <w:start w:val="1"/>
      <w:numFmt w:val="decimal"/>
      <w:pStyle w:val="WPPR3"/>
      <w:lvlText w:val="%1.%2.%3.%4.%5"/>
      <w:lvlJc w:val="left"/>
      <w:pPr>
        <w:ind w:left="1728" w:hanging="1008"/>
      </w:pPr>
      <w:rPr>
        <w:rFonts w:hint="default"/>
      </w:rPr>
    </w:lvl>
    <w:lvl w:ilvl="5">
      <w:start w:val="1"/>
      <w:numFmt w:val="decimal"/>
      <w:pStyle w:val="WPPR4"/>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4"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15" w15:restartNumberingAfterBreak="0">
    <w:nsid w:val="7FD56A96"/>
    <w:multiLevelType w:val="hybridMultilevel"/>
    <w:tmpl w:val="0150958A"/>
    <w:lvl w:ilvl="0" w:tplc="7B80543E">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9"/>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12"/>
  </w:num>
  <w:num w:numId="5">
    <w:abstractNumId w:val="3"/>
  </w:num>
  <w:num w:numId="6">
    <w:abstractNumId w:val="2"/>
  </w:num>
  <w:num w:numId="7">
    <w:abstractNumId w:val="15"/>
  </w:num>
  <w:num w:numId="8">
    <w:abstractNumId w:val="1"/>
  </w:num>
  <w:num w:numId="9">
    <w:abstractNumId w:val="11"/>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3">
    <w:abstractNumId w:val="10"/>
  </w:num>
  <w:num w:numId="14">
    <w:abstractNumId w:val="7"/>
  </w:num>
  <w:num w:numId="15">
    <w:abstractNumId w:val="0"/>
  </w:num>
  <w:num w:numId="16">
    <w:abstractNumId w:val="5"/>
  </w:num>
  <w:num w:numId="17">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0369"/>
    <w:rsid w:val="00001AD9"/>
    <w:rsid w:val="00004D9A"/>
    <w:rsid w:val="000051B5"/>
    <w:rsid w:val="00005B06"/>
    <w:rsid w:val="000063B0"/>
    <w:rsid w:val="000110D9"/>
    <w:rsid w:val="000111AF"/>
    <w:rsid w:val="000112C4"/>
    <w:rsid w:val="00012240"/>
    <w:rsid w:val="00014432"/>
    <w:rsid w:val="00014A69"/>
    <w:rsid w:val="00015A90"/>
    <w:rsid w:val="00016928"/>
    <w:rsid w:val="00020218"/>
    <w:rsid w:val="00021D6F"/>
    <w:rsid w:val="000220A0"/>
    <w:rsid w:val="0002389A"/>
    <w:rsid w:val="00026D58"/>
    <w:rsid w:val="00027EF3"/>
    <w:rsid w:val="000302DF"/>
    <w:rsid w:val="00031184"/>
    <w:rsid w:val="00036523"/>
    <w:rsid w:val="0003685D"/>
    <w:rsid w:val="00037A06"/>
    <w:rsid w:val="00040B8C"/>
    <w:rsid w:val="00041B32"/>
    <w:rsid w:val="0004333F"/>
    <w:rsid w:val="00046BB0"/>
    <w:rsid w:val="00051DBB"/>
    <w:rsid w:val="00052C95"/>
    <w:rsid w:val="00054D4D"/>
    <w:rsid w:val="00057E21"/>
    <w:rsid w:val="00057EBB"/>
    <w:rsid w:val="00061D34"/>
    <w:rsid w:val="000621A8"/>
    <w:rsid w:val="00063E11"/>
    <w:rsid w:val="000650E8"/>
    <w:rsid w:val="000672E5"/>
    <w:rsid w:val="000678A8"/>
    <w:rsid w:val="000723DB"/>
    <w:rsid w:val="00072AB5"/>
    <w:rsid w:val="00074C5D"/>
    <w:rsid w:val="00074E3E"/>
    <w:rsid w:val="00075353"/>
    <w:rsid w:val="00075A20"/>
    <w:rsid w:val="000767E9"/>
    <w:rsid w:val="0008108C"/>
    <w:rsid w:val="000841AA"/>
    <w:rsid w:val="000843C8"/>
    <w:rsid w:val="0008474A"/>
    <w:rsid w:val="00086327"/>
    <w:rsid w:val="00090BBF"/>
    <w:rsid w:val="000910B7"/>
    <w:rsid w:val="00091581"/>
    <w:rsid w:val="00092330"/>
    <w:rsid w:val="00094235"/>
    <w:rsid w:val="00094517"/>
    <w:rsid w:val="00094831"/>
    <w:rsid w:val="00096485"/>
    <w:rsid w:val="000978C8"/>
    <w:rsid w:val="000A00D6"/>
    <w:rsid w:val="000A031F"/>
    <w:rsid w:val="000A47D0"/>
    <w:rsid w:val="000A4A50"/>
    <w:rsid w:val="000A4C01"/>
    <w:rsid w:val="000A4D3A"/>
    <w:rsid w:val="000A62EF"/>
    <w:rsid w:val="000A66B7"/>
    <w:rsid w:val="000A7058"/>
    <w:rsid w:val="000B0732"/>
    <w:rsid w:val="000B6004"/>
    <w:rsid w:val="000B7A91"/>
    <w:rsid w:val="000C0D41"/>
    <w:rsid w:val="000C36B4"/>
    <w:rsid w:val="000C4736"/>
    <w:rsid w:val="000C680A"/>
    <w:rsid w:val="000C68C6"/>
    <w:rsid w:val="000C6D9B"/>
    <w:rsid w:val="000C6E80"/>
    <w:rsid w:val="000C72C1"/>
    <w:rsid w:val="000D3D6A"/>
    <w:rsid w:val="000D46DF"/>
    <w:rsid w:val="000D4975"/>
    <w:rsid w:val="000D7391"/>
    <w:rsid w:val="000E290A"/>
    <w:rsid w:val="000E486C"/>
    <w:rsid w:val="000E4A4B"/>
    <w:rsid w:val="000F1833"/>
    <w:rsid w:val="000F1A47"/>
    <w:rsid w:val="000F1AA3"/>
    <w:rsid w:val="000F33C7"/>
    <w:rsid w:val="0010064D"/>
    <w:rsid w:val="0010287E"/>
    <w:rsid w:val="00103399"/>
    <w:rsid w:val="001041D8"/>
    <w:rsid w:val="00104933"/>
    <w:rsid w:val="00111A53"/>
    <w:rsid w:val="00112346"/>
    <w:rsid w:val="00112C97"/>
    <w:rsid w:val="0011329B"/>
    <w:rsid w:val="001133E9"/>
    <w:rsid w:val="00113A08"/>
    <w:rsid w:val="0011498C"/>
    <w:rsid w:val="00117784"/>
    <w:rsid w:val="00120592"/>
    <w:rsid w:val="00120EC2"/>
    <w:rsid w:val="001217DF"/>
    <w:rsid w:val="0012187D"/>
    <w:rsid w:val="00122D0C"/>
    <w:rsid w:val="00122DD8"/>
    <w:rsid w:val="00124BFE"/>
    <w:rsid w:val="00126809"/>
    <w:rsid w:val="00127D8D"/>
    <w:rsid w:val="00130805"/>
    <w:rsid w:val="00130F27"/>
    <w:rsid w:val="00131C5A"/>
    <w:rsid w:val="001334F9"/>
    <w:rsid w:val="001342D2"/>
    <w:rsid w:val="00134EC3"/>
    <w:rsid w:val="00142D3C"/>
    <w:rsid w:val="001436D7"/>
    <w:rsid w:val="00143736"/>
    <w:rsid w:val="00144451"/>
    <w:rsid w:val="001445DB"/>
    <w:rsid w:val="001451AB"/>
    <w:rsid w:val="001460AC"/>
    <w:rsid w:val="001471F3"/>
    <w:rsid w:val="00147B05"/>
    <w:rsid w:val="00151B9F"/>
    <w:rsid w:val="00154391"/>
    <w:rsid w:val="001564FC"/>
    <w:rsid w:val="00161DF1"/>
    <w:rsid w:val="0016220C"/>
    <w:rsid w:val="00163256"/>
    <w:rsid w:val="001634E4"/>
    <w:rsid w:val="00163A7E"/>
    <w:rsid w:val="00163BA6"/>
    <w:rsid w:val="001648F6"/>
    <w:rsid w:val="001652C2"/>
    <w:rsid w:val="00167713"/>
    <w:rsid w:val="001702F9"/>
    <w:rsid w:val="00170D1A"/>
    <w:rsid w:val="0017111B"/>
    <w:rsid w:val="0017194E"/>
    <w:rsid w:val="00171BB8"/>
    <w:rsid w:val="00171CCA"/>
    <w:rsid w:val="00173AE0"/>
    <w:rsid w:val="00174707"/>
    <w:rsid w:val="00174917"/>
    <w:rsid w:val="00180DAD"/>
    <w:rsid w:val="00181672"/>
    <w:rsid w:val="00181E01"/>
    <w:rsid w:val="001838B8"/>
    <w:rsid w:val="0018684E"/>
    <w:rsid w:val="0018694F"/>
    <w:rsid w:val="00186EF2"/>
    <w:rsid w:val="00190075"/>
    <w:rsid w:val="001931B2"/>
    <w:rsid w:val="001944A0"/>
    <w:rsid w:val="00194891"/>
    <w:rsid w:val="00195B03"/>
    <w:rsid w:val="00196649"/>
    <w:rsid w:val="001966D3"/>
    <w:rsid w:val="00196919"/>
    <w:rsid w:val="001A039F"/>
    <w:rsid w:val="001A11C7"/>
    <w:rsid w:val="001A1F32"/>
    <w:rsid w:val="001A4BAE"/>
    <w:rsid w:val="001A4BE1"/>
    <w:rsid w:val="001A7A21"/>
    <w:rsid w:val="001B1D23"/>
    <w:rsid w:val="001B1F35"/>
    <w:rsid w:val="001B3469"/>
    <w:rsid w:val="001B50F5"/>
    <w:rsid w:val="001C2232"/>
    <w:rsid w:val="001C2ACE"/>
    <w:rsid w:val="001C45A1"/>
    <w:rsid w:val="001C4E84"/>
    <w:rsid w:val="001C50E1"/>
    <w:rsid w:val="001C55E2"/>
    <w:rsid w:val="001C6C9B"/>
    <w:rsid w:val="001C7134"/>
    <w:rsid w:val="001C78B3"/>
    <w:rsid w:val="001D227C"/>
    <w:rsid w:val="001D3A40"/>
    <w:rsid w:val="001D4D59"/>
    <w:rsid w:val="001D5FDD"/>
    <w:rsid w:val="001D65A6"/>
    <w:rsid w:val="001D7A57"/>
    <w:rsid w:val="001E19A3"/>
    <w:rsid w:val="001E4C3F"/>
    <w:rsid w:val="001E6273"/>
    <w:rsid w:val="001F114E"/>
    <w:rsid w:val="001F735E"/>
    <w:rsid w:val="001F75B0"/>
    <w:rsid w:val="002005A8"/>
    <w:rsid w:val="002006B6"/>
    <w:rsid w:val="00202110"/>
    <w:rsid w:val="00202532"/>
    <w:rsid w:val="002042DB"/>
    <w:rsid w:val="002049CA"/>
    <w:rsid w:val="00205BAF"/>
    <w:rsid w:val="00207F85"/>
    <w:rsid w:val="0021006A"/>
    <w:rsid w:val="0021226A"/>
    <w:rsid w:val="00212899"/>
    <w:rsid w:val="00214F83"/>
    <w:rsid w:val="00215CFF"/>
    <w:rsid w:val="0021616E"/>
    <w:rsid w:val="002175A6"/>
    <w:rsid w:val="00220C27"/>
    <w:rsid w:val="00225142"/>
    <w:rsid w:val="00226694"/>
    <w:rsid w:val="00226D55"/>
    <w:rsid w:val="00227BDD"/>
    <w:rsid w:val="002308DB"/>
    <w:rsid w:val="002318A4"/>
    <w:rsid w:val="00232FA4"/>
    <w:rsid w:val="00233125"/>
    <w:rsid w:val="002335FF"/>
    <w:rsid w:val="00233D87"/>
    <w:rsid w:val="00234C6A"/>
    <w:rsid w:val="0023666C"/>
    <w:rsid w:val="00236E0A"/>
    <w:rsid w:val="00236E2F"/>
    <w:rsid w:val="00237964"/>
    <w:rsid w:val="002379CC"/>
    <w:rsid w:val="002434DE"/>
    <w:rsid w:val="00245AFF"/>
    <w:rsid w:val="0024628D"/>
    <w:rsid w:val="0024690E"/>
    <w:rsid w:val="0024691D"/>
    <w:rsid w:val="00246F25"/>
    <w:rsid w:val="002517D9"/>
    <w:rsid w:val="00251ABC"/>
    <w:rsid w:val="002524CF"/>
    <w:rsid w:val="002544B1"/>
    <w:rsid w:val="00256400"/>
    <w:rsid w:val="00256841"/>
    <w:rsid w:val="00260C0F"/>
    <w:rsid w:val="0026182B"/>
    <w:rsid w:val="00261DDA"/>
    <w:rsid w:val="00266F0F"/>
    <w:rsid w:val="00270840"/>
    <w:rsid w:val="002737D3"/>
    <w:rsid w:val="00274E9C"/>
    <w:rsid w:val="00276F9B"/>
    <w:rsid w:val="00277AFF"/>
    <w:rsid w:val="00277C9C"/>
    <w:rsid w:val="00285C3A"/>
    <w:rsid w:val="0028789E"/>
    <w:rsid w:val="00287B25"/>
    <w:rsid w:val="002920CC"/>
    <w:rsid w:val="00293E33"/>
    <w:rsid w:val="00294233"/>
    <w:rsid w:val="002942B0"/>
    <w:rsid w:val="0029555D"/>
    <w:rsid w:val="0029646E"/>
    <w:rsid w:val="0029781E"/>
    <w:rsid w:val="00297C8D"/>
    <w:rsid w:val="00297CCD"/>
    <w:rsid w:val="002A0B1F"/>
    <w:rsid w:val="002A17BB"/>
    <w:rsid w:val="002A1B5C"/>
    <w:rsid w:val="002A1D7D"/>
    <w:rsid w:val="002A2471"/>
    <w:rsid w:val="002A2A94"/>
    <w:rsid w:val="002B107C"/>
    <w:rsid w:val="002B1D63"/>
    <w:rsid w:val="002B2C97"/>
    <w:rsid w:val="002B3BF4"/>
    <w:rsid w:val="002B4848"/>
    <w:rsid w:val="002B6DED"/>
    <w:rsid w:val="002B6F2A"/>
    <w:rsid w:val="002B7391"/>
    <w:rsid w:val="002B7BAA"/>
    <w:rsid w:val="002B7E54"/>
    <w:rsid w:val="002C06FC"/>
    <w:rsid w:val="002C1117"/>
    <w:rsid w:val="002C2FBD"/>
    <w:rsid w:val="002C30CB"/>
    <w:rsid w:val="002C4CA2"/>
    <w:rsid w:val="002C67DF"/>
    <w:rsid w:val="002C7708"/>
    <w:rsid w:val="002D0036"/>
    <w:rsid w:val="002D1E44"/>
    <w:rsid w:val="002D29F8"/>
    <w:rsid w:val="002D2CC7"/>
    <w:rsid w:val="002D40EE"/>
    <w:rsid w:val="002D4993"/>
    <w:rsid w:val="002D50E9"/>
    <w:rsid w:val="002D58AE"/>
    <w:rsid w:val="002D5CFA"/>
    <w:rsid w:val="002E580F"/>
    <w:rsid w:val="002F16FE"/>
    <w:rsid w:val="002F2635"/>
    <w:rsid w:val="002F2ED4"/>
    <w:rsid w:val="002F376F"/>
    <w:rsid w:val="002F48A2"/>
    <w:rsid w:val="002F7D45"/>
    <w:rsid w:val="00300BB6"/>
    <w:rsid w:val="00302710"/>
    <w:rsid w:val="00302A82"/>
    <w:rsid w:val="00305BD4"/>
    <w:rsid w:val="00307F3B"/>
    <w:rsid w:val="003103FB"/>
    <w:rsid w:val="00310436"/>
    <w:rsid w:val="00311B8C"/>
    <w:rsid w:val="00313055"/>
    <w:rsid w:val="00313776"/>
    <w:rsid w:val="00313E1D"/>
    <w:rsid w:val="00321420"/>
    <w:rsid w:val="00321489"/>
    <w:rsid w:val="00321E45"/>
    <w:rsid w:val="003225AD"/>
    <w:rsid w:val="003247FA"/>
    <w:rsid w:val="0032690D"/>
    <w:rsid w:val="00327732"/>
    <w:rsid w:val="003309DA"/>
    <w:rsid w:val="00330C88"/>
    <w:rsid w:val="00332B1B"/>
    <w:rsid w:val="00333809"/>
    <w:rsid w:val="00336313"/>
    <w:rsid w:val="00337D1D"/>
    <w:rsid w:val="00340EBC"/>
    <w:rsid w:val="0034138D"/>
    <w:rsid w:val="00341BEC"/>
    <w:rsid w:val="00341DAE"/>
    <w:rsid w:val="00342A4B"/>
    <w:rsid w:val="00344076"/>
    <w:rsid w:val="00350004"/>
    <w:rsid w:val="003501C3"/>
    <w:rsid w:val="0035060F"/>
    <w:rsid w:val="0035285C"/>
    <w:rsid w:val="00352864"/>
    <w:rsid w:val="00354088"/>
    <w:rsid w:val="00354812"/>
    <w:rsid w:val="00356AEA"/>
    <w:rsid w:val="00360FD8"/>
    <w:rsid w:val="00361B16"/>
    <w:rsid w:val="00362F9E"/>
    <w:rsid w:val="00363BE8"/>
    <w:rsid w:val="003657E1"/>
    <w:rsid w:val="0037028A"/>
    <w:rsid w:val="0037079C"/>
    <w:rsid w:val="00372F61"/>
    <w:rsid w:val="00376715"/>
    <w:rsid w:val="0037673C"/>
    <w:rsid w:val="00376EAF"/>
    <w:rsid w:val="00380A43"/>
    <w:rsid w:val="0038390D"/>
    <w:rsid w:val="00385069"/>
    <w:rsid w:val="00387072"/>
    <w:rsid w:val="00387273"/>
    <w:rsid w:val="00392097"/>
    <w:rsid w:val="00392684"/>
    <w:rsid w:val="00394414"/>
    <w:rsid w:val="0039632A"/>
    <w:rsid w:val="003A5079"/>
    <w:rsid w:val="003A5565"/>
    <w:rsid w:val="003A58B4"/>
    <w:rsid w:val="003B075F"/>
    <w:rsid w:val="003B28EF"/>
    <w:rsid w:val="003B7610"/>
    <w:rsid w:val="003C16DE"/>
    <w:rsid w:val="003C2CC3"/>
    <w:rsid w:val="003C3701"/>
    <w:rsid w:val="003C6546"/>
    <w:rsid w:val="003C73AD"/>
    <w:rsid w:val="003C7721"/>
    <w:rsid w:val="003D07C1"/>
    <w:rsid w:val="003D1635"/>
    <w:rsid w:val="003D1FB8"/>
    <w:rsid w:val="003D234F"/>
    <w:rsid w:val="003D7091"/>
    <w:rsid w:val="003D7104"/>
    <w:rsid w:val="003E083E"/>
    <w:rsid w:val="003E5605"/>
    <w:rsid w:val="003E75E0"/>
    <w:rsid w:val="003F0226"/>
    <w:rsid w:val="003F175B"/>
    <w:rsid w:val="003F269E"/>
    <w:rsid w:val="003F4964"/>
    <w:rsid w:val="003F606B"/>
    <w:rsid w:val="003F65F3"/>
    <w:rsid w:val="004002C7"/>
    <w:rsid w:val="00401C34"/>
    <w:rsid w:val="00401C43"/>
    <w:rsid w:val="00402289"/>
    <w:rsid w:val="004030CD"/>
    <w:rsid w:val="004046FF"/>
    <w:rsid w:val="00410790"/>
    <w:rsid w:val="00411EF4"/>
    <w:rsid w:val="004133BB"/>
    <w:rsid w:val="004142EF"/>
    <w:rsid w:val="00414D03"/>
    <w:rsid w:val="00417D5A"/>
    <w:rsid w:val="00420958"/>
    <w:rsid w:val="00420EF1"/>
    <w:rsid w:val="00421242"/>
    <w:rsid w:val="00421920"/>
    <w:rsid w:val="0042307C"/>
    <w:rsid w:val="00423D33"/>
    <w:rsid w:val="004249A0"/>
    <w:rsid w:val="004251BC"/>
    <w:rsid w:val="00426469"/>
    <w:rsid w:val="0043116F"/>
    <w:rsid w:val="00431705"/>
    <w:rsid w:val="00432D49"/>
    <w:rsid w:val="00433289"/>
    <w:rsid w:val="00433570"/>
    <w:rsid w:val="004339EA"/>
    <w:rsid w:val="00433E8F"/>
    <w:rsid w:val="00434145"/>
    <w:rsid w:val="00434BF5"/>
    <w:rsid w:val="00434DF5"/>
    <w:rsid w:val="0043533F"/>
    <w:rsid w:val="00444DFC"/>
    <w:rsid w:val="0044560D"/>
    <w:rsid w:val="0044577B"/>
    <w:rsid w:val="004517F1"/>
    <w:rsid w:val="00452FD9"/>
    <w:rsid w:val="004534D4"/>
    <w:rsid w:val="00453B87"/>
    <w:rsid w:val="00453B92"/>
    <w:rsid w:val="00454ABB"/>
    <w:rsid w:val="004556DF"/>
    <w:rsid w:val="00461AE3"/>
    <w:rsid w:val="00462548"/>
    <w:rsid w:val="00462BB6"/>
    <w:rsid w:val="00462F42"/>
    <w:rsid w:val="004644E1"/>
    <w:rsid w:val="00464A63"/>
    <w:rsid w:val="004655A0"/>
    <w:rsid w:val="00466C27"/>
    <w:rsid w:val="00466DD6"/>
    <w:rsid w:val="0046736E"/>
    <w:rsid w:val="00467C34"/>
    <w:rsid w:val="00470670"/>
    <w:rsid w:val="00472121"/>
    <w:rsid w:val="00472286"/>
    <w:rsid w:val="00474A19"/>
    <w:rsid w:val="00474F1C"/>
    <w:rsid w:val="00475A47"/>
    <w:rsid w:val="00475D57"/>
    <w:rsid w:val="00477EDD"/>
    <w:rsid w:val="004801AC"/>
    <w:rsid w:val="00480D7F"/>
    <w:rsid w:val="004813F7"/>
    <w:rsid w:val="00483751"/>
    <w:rsid w:val="00484197"/>
    <w:rsid w:val="00484536"/>
    <w:rsid w:val="00485A55"/>
    <w:rsid w:val="00486585"/>
    <w:rsid w:val="00487E1A"/>
    <w:rsid w:val="00490EB6"/>
    <w:rsid w:val="0049175F"/>
    <w:rsid w:val="00492436"/>
    <w:rsid w:val="004940CC"/>
    <w:rsid w:val="00497289"/>
    <w:rsid w:val="004A06AE"/>
    <w:rsid w:val="004A3BFF"/>
    <w:rsid w:val="004A510D"/>
    <w:rsid w:val="004A5A65"/>
    <w:rsid w:val="004A66D5"/>
    <w:rsid w:val="004A6DF0"/>
    <w:rsid w:val="004B06E3"/>
    <w:rsid w:val="004B35DC"/>
    <w:rsid w:val="004B4900"/>
    <w:rsid w:val="004B4A93"/>
    <w:rsid w:val="004B5888"/>
    <w:rsid w:val="004B6EFC"/>
    <w:rsid w:val="004B7F05"/>
    <w:rsid w:val="004C2A36"/>
    <w:rsid w:val="004C3663"/>
    <w:rsid w:val="004C57EC"/>
    <w:rsid w:val="004C69F2"/>
    <w:rsid w:val="004C709B"/>
    <w:rsid w:val="004D0C20"/>
    <w:rsid w:val="004D1461"/>
    <w:rsid w:val="004D2452"/>
    <w:rsid w:val="004D3045"/>
    <w:rsid w:val="004D3A71"/>
    <w:rsid w:val="004D3CE4"/>
    <w:rsid w:val="004D4EE6"/>
    <w:rsid w:val="004D7E51"/>
    <w:rsid w:val="004E04EE"/>
    <w:rsid w:val="004E0525"/>
    <w:rsid w:val="004E0E94"/>
    <w:rsid w:val="004E1B37"/>
    <w:rsid w:val="004E2704"/>
    <w:rsid w:val="004E2773"/>
    <w:rsid w:val="004E4D01"/>
    <w:rsid w:val="004F1A85"/>
    <w:rsid w:val="004F65E1"/>
    <w:rsid w:val="004F705B"/>
    <w:rsid w:val="004F7E4C"/>
    <w:rsid w:val="005000AC"/>
    <w:rsid w:val="00500964"/>
    <w:rsid w:val="00500C66"/>
    <w:rsid w:val="00500DF0"/>
    <w:rsid w:val="00503E46"/>
    <w:rsid w:val="00503F65"/>
    <w:rsid w:val="00505B94"/>
    <w:rsid w:val="005130EC"/>
    <w:rsid w:val="005146E6"/>
    <w:rsid w:val="00515DE6"/>
    <w:rsid w:val="005171CD"/>
    <w:rsid w:val="00522EEB"/>
    <w:rsid w:val="005246CE"/>
    <w:rsid w:val="00526427"/>
    <w:rsid w:val="00530A79"/>
    <w:rsid w:val="00534105"/>
    <w:rsid w:val="00535A42"/>
    <w:rsid w:val="0053748E"/>
    <w:rsid w:val="00540157"/>
    <w:rsid w:val="005449C6"/>
    <w:rsid w:val="005459C8"/>
    <w:rsid w:val="00546B24"/>
    <w:rsid w:val="0055671E"/>
    <w:rsid w:val="00556D8E"/>
    <w:rsid w:val="00557AC6"/>
    <w:rsid w:val="0056164D"/>
    <w:rsid w:val="00566907"/>
    <w:rsid w:val="00566B42"/>
    <w:rsid w:val="00566F11"/>
    <w:rsid w:val="0057165C"/>
    <w:rsid w:val="00571983"/>
    <w:rsid w:val="00571D1D"/>
    <w:rsid w:val="005722C6"/>
    <w:rsid w:val="00575EF3"/>
    <w:rsid w:val="00580CEA"/>
    <w:rsid w:val="00580FF8"/>
    <w:rsid w:val="00581857"/>
    <w:rsid w:val="00585C8D"/>
    <w:rsid w:val="005862CC"/>
    <w:rsid w:val="00587076"/>
    <w:rsid w:val="00590848"/>
    <w:rsid w:val="00590966"/>
    <w:rsid w:val="005911FE"/>
    <w:rsid w:val="005924E9"/>
    <w:rsid w:val="0059312F"/>
    <w:rsid w:val="00595758"/>
    <w:rsid w:val="00596081"/>
    <w:rsid w:val="005A3943"/>
    <w:rsid w:val="005A51E6"/>
    <w:rsid w:val="005A5CA0"/>
    <w:rsid w:val="005A632E"/>
    <w:rsid w:val="005B1411"/>
    <w:rsid w:val="005B338B"/>
    <w:rsid w:val="005B7418"/>
    <w:rsid w:val="005C03A9"/>
    <w:rsid w:val="005C2BFC"/>
    <w:rsid w:val="005C324B"/>
    <w:rsid w:val="005C33BD"/>
    <w:rsid w:val="005C39FB"/>
    <w:rsid w:val="005C43E2"/>
    <w:rsid w:val="005C454A"/>
    <w:rsid w:val="005C51E0"/>
    <w:rsid w:val="005C6E32"/>
    <w:rsid w:val="005C74C9"/>
    <w:rsid w:val="005C77AB"/>
    <w:rsid w:val="005D000F"/>
    <w:rsid w:val="005D0817"/>
    <w:rsid w:val="005D1B14"/>
    <w:rsid w:val="005D257B"/>
    <w:rsid w:val="005D2E97"/>
    <w:rsid w:val="005D30DE"/>
    <w:rsid w:val="005D4B52"/>
    <w:rsid w:val="005D5F38"/>
    <w:rsid w:val="005E0411"/>
    <w:rsid w:val="005E0DDF"/>
    <w:rsid w:val="005E1D5C"/>
    <w:rsid w:val="005E25DC"/>
    <w:rsid w:val="005E3998"/>
    <w:rsid w:val="005E52AE"/>
    <w:rsid w:val="005E5607"/>
    <w:rsid w:val="005E567C"/>
    <w:rsid w:val="005E7E7E"/>
    <w:rsid w:val="005F334B"/>
    <w:rsid w:val="005F3A35"/>
    <w:rsid w:val="005F505E"/>
    <w:rsid w:val="005F5106"/>
    <w:rsid w:val="005F5FA4"/>
    <w:rsid w:val="00602976"/>
    <w:rsid w:val="0060388D"/>
    <w:rsid w:val="00604231"/>
    <w:rsid w:val="006068F3"/>
    <w:rsid w:val="00610C2F"/>
    <w:rsid w:val="00610C9A"/>
    <w:rsid w:val="0061791A"/>
    <w:rsid w:val="0062187C"/>
    <w:rsid w:val="00621CD7"/>
    <w:rsid w:val="00622869"/>
    <w:rsid w:val="00625805"/>
    <w:rsid w:val="00626CF0"/>
    <w:rsid w:val="00627AC4"/>
    <w:rsid w:val="0063253B"/>
    <w:rsid w:val="0063341D"/>
    <w:rsid w:val="00634C2E"/>
    <w:rsid w:val="00635E08"/>
    <w:rsid w:val="006363C8"/>
    <w:rsid w:val="006378F8"/>
    <w:rsid w:val="00637AB8"/>
    <w:rsid w:val="0064370D"/>
    <w:rsid w:val="00643771"/>
    <w:rsid w:val="00644946"/>
    <w:rsid w:val="00645C12"/>
    <w:rsid w:val="00646AB8"/>
    <w:rsid w:val="00647BD9"/>
    <w:rsid w:val="0065285B"/>
    <w:rsid w:val="00654A3E"/>
    <w:rsid w:val="00655771"/>
    <w:rsid w:val="00661FA9"/>
    <w:rsid w:val="006624A7"/>
    <w:rsid w:val="006635C0"/>
    <w:rsid w:val="0066515F"/>
    <w:rsid w:val="006668AF"/>
    <w:rsid w:val="00667840"/>
    <w:rsid w:val="0067278C"/>
    <w:rsid w:val="00672A21"/>
    <w:rsid w:val="00673EBD"/>
    <w:rsid w:val="00676D41"/>
    <w:rsid w:val="00677ADB"/>
    <w:rsid w:val="00680235"/>
    <w:rsid w:val="0068298E"/>
    <w:rsid w:val="00686439"/>
    <w:rsid w:val="00687649"/>
    <w:rsid w:val="00690F7A"/>
    <w:rsid w:val="00692926"/>
    <w:rsid w:val="00694140"/>
    <w:rsid w:val="006978C5"/>
    <w:rsid w:val="006A3449"/>
    <w:rsid w:val="006A38AB"/>
    <w:rsid w:val="006A4588"/>
    <w:rsid w:val="006A5210"/>
    <w:rsid w:val="006A6051"/>
    <w:rsid w:val="006A7968"/>
    <w:rsid w:val="006B28A2"/>
    <w:rsid w:val="006B30FB"/>
    <w:rsid w:val="006B31D9"/>
    <w:rsid w:val="006C0102"/>
    <w:rsid w:val="006C07D4"/>
    <w:rsid w:val="006C41AD"/>
    <w:rsid w:val="006C6562"/>
    <w:rsid w:val="006C66A1"/>
    <w:rsid w:val="006D04BD"/>
    <w:rsid w:val="006D54FF"/>
    <w:rsid w:val="006D6644"/>
    <w:rsid w:val="006D7180"/>
    <w:rsid w:val="006E13A9"/>
    <w:rsid w:val="006E1519"/>
    <w:rsid w:val="006E433B"/>
    <w:rsid w:val="006E6128"/>
    <w:rsid w:val="006E663C"/>
    <w:rsid w:val="006E67A2"/>
    <w:rsid w:val="006E7899"/>
    <w:rsid w:val="006E7C78"/>
    <w:rsid w:val="006F150E"/>
    <w:rsid w:val="006F27F4"/>
    <w:rsid w:val="006F2E23"/>
    <w:rsid w:val="006F4F34"/>
    <w:rsid w:val="006F5726"/>
    <w:rsid w:val="006F7024"/>
    <w:rsid w:val="00703A7C"/>
    <w:rsid w:val="007065E4"/>
    <w:rsid w:val="007076DA"/>
    <w:rsid w:val="00707860"/>
    <w:rsid w:val="0071415E"/>
    <w:rsid w:val="0071713E"/>
    <w:rsid w:val="007205BD"/>
    <w:rsid w:val="007207BF"/>
    <w:rsid w:val="00723729"/>
    <w:rsid w:val="0072431B"/>
    <w:rsid w:val="00725CB0"/>
    <w:rsid w:val="00731FFB"/>
    <w:rsid w:val="00733299"/>
    <w:rsid w:val="0073517D"/>
    <w:rsid w:val="007353FF"/>
    <w:rsid w:val="00735B94"/>
    <w:rsid w:val="0073638D"/>
    <w:rsid w:val="0073685C"/>
    <w:rsid w:val="00736D87"/>
    <w:rsid w:val="00737EA5"/>
    <w:rsid w:val="007400AE"/>
    <w:rsid w:val="00741F3E"/>
    <w:rsid w:val="007428DC"/>
    <w:rsid w:val="00743AA8"/>
    <w:rsid w:val="00747A55"/>
    <w:rsid w:val="00750840"/>
    <w:rsid w:val="00751772"/>
    <w:rsid w:val="007550BD"/>
    <w:rsid w:val="007562C1"/>
    <w:rsid w:val="00757617"/>
    <w:rsid w:val="00760E9C"/>
    <w:rsid w:val="00762B98"/>
    <w:rsid w:val="00763AD8"/>
    <w:rsid w:val="00765016"/>
    <w:rsid w:val="00766564"/>
    <w:rsid w:val="00767E54"/>
    <w:rsid w:val="00767EDE"/>
    <w:rsid w:val="0077100C"/>
    <w:rsid w:val="007743C7"/>
    <w:rsid w:val="00776C39"/>
    <w:rsid w:val="00776D6D"/>
    <w:rsid w:val="0077770F"/>
    <w:rsid w:val="00781D00"/>
    <w:rsid w:val="007823C2"/>
    <w:rsid w:val="00783C18"/>
    <w:rsid w:val="00784C28"/>
    <w:rsid w:val="00787FCA"/>
    <w:rsid w:val="007900F3"/>
    <w:rsid w:val="00791B69"/>
    <w:rsid w:val="00793B08"/>
    <w:rsid w:val="0079498E"/>
    <w:rsid w:val="007956B1"/>
    <w:rsid w:val="0079618B"/>
    <w:rsid w:val="00796F10"/>
    <w:rsid w:val="00797AA4"/>
    <w:rsid w:val="007A312F"/>
    <w:rsid w:val="007A603F"/>
    <w:rsid w:val="007A6AB5"/>
    <w:rsid w:val="007A72AC"/>
    <w:rsid w:val="007B14D9"/>
    <w:rsid w:val="007B193E"/>
    <w:rsid w:val="007B2B46"/>
    <w:rsid w:val="007B30F2"/>
    <w:rsid w:val="007B36AA"/>
    <w:rsid w:val="007B377F"/>
    <w:rsid w:val="007B4274"/>
    <w:rsid w:val="007B5117"/>
    <w:rsid w:val="007B5417"/>
    <w:rsid w:val="007B599D"/>
    <w:rsid w:val="007B5A98"/>
    <w:rsid w:val="007B5F04"/>
    <w:rsid w:val="007B6650"/>
    <w:rsid w:val="007B66BC"/>
    <w:rsid w:val="007B6A74"/>
    <w:rsid w:val="007B7BD7"/>
    <w:rsid w:val="007C14DA"/>
    <w:rsid w:val="007C1843"/>
    <w:rsid w:val="007C2DC8"/>
    <w:rsid w:val="007D0051"/>
    <w:rsid w:val="007D097E"/>
    <w:rsid w:val="007D1994"/>
    <w:rsid w:val="007D1CA0"/>
    <w:rsid w:val="007D230B"/>
    <w:rsid w:val="007D2D80"/>
    <w:rsid w:val="007D2E64"/>
    <w:rsid w:val="007D3681"/>
    <w:rsid w:val="007D3824"/>
    <w:rsid w:val="007D3EB8"/>
    <w:rsid w:val="007D49A1"/>
    <w:rsid w:val="007D59DD"/>
    <w:rsid w:val="007E042A"/>
    <w:rsid w:val="007E1F66"/>
    <w:rsid w:val="007E245A"/>
    <w:rsid w:val="007E2CB5"/>
    <w:rsid w:val="007E4C10"/>
    <w:rsid w:val="007E6501"/>
    <w:rsid w:val="007E6C25"/>
    <w:rsid w:val="007F0F72"/>
    <w:rsid w:val="007F19FD"/>
    <w:rsid w:val="007F31BE"/>
    <w:rsid w:val="007F32D7"/>
    <w:rsid w:val="00801632"/>
    <w:rsid w:val="00801BCF"/>
    <w:rsid w:val="00802334"/>
    <w:rsid w:val="0080520B"/>
    <w:rsid w:val="00807B3E"/>
    <w:rsid w:val="00810D4A"/>
    <w:rsid w:val="00812DD4"/>
    <w:rsid w:val="00812F82"/>
    <w:rsid w:val="0081335F"/>
    <w:rsid w:val="008146FD"/>
    <w:rsid w:val="00816AAB"/>
    <w:rsid w:val="00817457"/>
    <w:rsid w:val="00820402"/>
    <w:rsid w:val="008225F5"/>
    <w:rsid w:val="00822FF2"/>
    <w:rsid w:val="008238A9"/>
    <w:rsid w:val="008243B2"/>
    <w:rsid w:val="00824F08"/>
    <w:rsid w:val="00826AEF"/>
    <w:rsid w:val="008310DF"/>
    <w:rsid w:val="00831105"/>
    <w:rsid w:val="00835487"/>
    <w:rsid w:val="00835A19"/>
    <w:rsid w:val="00844A4B"/>
    <w:rsid w:val="0084664B"/>
    <w:rsid w:val="00847908"/>
    <w:rsid w:val="00850327"/>
    <w:rsid w:val="00850E02"/>
    <w:rsid w:val="00854676"/>
    <w:rsid w:val="008563EB"/>
    <w:rsid w:val="008607C0"/>
    <w:rsid w:val="00860CED"/>
    <w:rsid w:val="00861709"/>
    <w:rsid w:val="0086320D"/>
    <w:rsid w:val="00863CD4"/>
    <w:rsid w:val="00864E31"/>
    <w:rsid w:val="00865296"/>
    <w:rsid w:val="00867086"/>
    <w:rsid w:val="00867FCD"/>
    <w:rsid w:val="00871118"/>
    <w:rsid w:val="008726D1"/>
    <w:rsid w:val="00873783"/>
    <w:rsid w:val="00874046"/>
    <w:rsid w:val="00874663"/>
    <w:rsid w:val="00881B95"/>
    <w:rsid w:val="00882B6B"/>
    <w:rsid w:val="008831CA"/>
    <w:rsid w:val="00884557"/>
    <w:rsid w:val="00885258"/>
    <w:rsid w:val="008913CB"/>
    <w:rsid w:val="0089272A"/>
    <w:rsid w:val="00894078"/>
    <w:rsid w:val="00894890"/>
    <w:rsid w:val="00897247"/>
    <w:rsid w:val="008A13B8"/>
    <w:rsid w:val="008A23C9"/>
    <w:rsid w:val="008A49FA"/>
    <w:rsid w:val="008A64BC"/>
    <w:rsid w:val="008A6EE1"/>
    <w:rsid w:val="008B08F0"/>
    <w:rsid w:val="008B262C"/>
    <w:rsid w:val="008B4FEB"/>
    <w:rsid w:val="008B604E"/>
    <w:rsid w:val="008B6988"/>
    <w:rsid w:val="008B6FC8"/>
    <w:rsid w:val="008C05EF"/>
    <w:rsid w:val="008C186F"/>
    <w:rsid w:val="008C19E9"/>
    <w:rsid w:val="008C26E9"/>
    <w:rsid w:val="008C2B86"/>
    <w:rsid w:val="008C3E91"/>
    <w:rsid w:val="008C774E"/>
    <w:rsid w:val="008D0340"/>
    <w:rsid w:val="008D4652"/>
    <w:rsid w:val="008D6D9D"/>
    <w:rsid w:val="008E0BDD"/>
    <w:rsid w:val="008E3D70"/>
    <w:rsid w:val="008F02EB"/>
    <w:rsid w:val="008F1691"/>
    <w:rsid w:val="008F22E2"/>
    <w:rsid w:val="008F3D9A"/>
    <w:rsid w:val="008F53D0"/>
    <w:rsid w:val="008F5698"/>
    <w:rsid w:val="008F56B6"/>
    <w:rsid w:val="008F639E"/>
    <w:rsid w:val="00900024"/>
    <w:rsid w:val="00901E63"/>
    <w:rsid w:val="00901EF2"/>
    <w:rsid w:val="00903185"/>
    <w:rsid w:val="00903330"/>
    <w:rsid w:val="00903EB6"/>
    <w:rsid w:val="00904906"/>
    <w:rsid w:val="00904F9D"/>
    <w:rsid w:val="00904FDB"/>
    <w:rsid w:val="0090621B"/>
    <w:rsid w:val="0090760E"/>
    <w:rsid w:val="009079D0"/>
    <w:rsid w:val="00910F28"/>
    <w:rsid w:val="00913D0A"/>
    <w:rsid w:val="009148A1"/>
    <w:rsid w:val="00917815"/>
    <w:rsid w:val="00922205"/>
    <w:rsid w:val="00924972"/>
    <w:rsid w:val="00925C55"/>
    <w:rsid w:val="00926530"/>
    <w:rsid w:val="00932E1E"/>
    <w:rsid w:val="00934068"/>
    <w:rsid w:val="00935CD5"/>
    <w:rsid w:val="009371B2"/>
    <w:rsid w:val="00937854"/>
    <w:rsid w:val="00937CF7"/>
    <w:rsid w:val="00941552"/>
    <w:rsid w:val="009418AA"/>
    <w:rsid w:val="0094251A"/>
    <w:rsid w:val="00942D57"/>
    <w:rsid w:val="009469E0"/>
    <w:rsid w:val="009475EC"/>
    <w:rsid w:val="00950C56"/>
    <w:rsid w:val="00951C4D"/>
    <w:rsid w:val="00952B58"/>
    <w:rsid w:val="00952E03"/>
    <w:rsid w:val="00953678"/>
    <w:rsid w:val="009547E2"/>
    <w:rsid w:val="00954C4B"/>
    <w:rsid w:val="00956488"/>
    <w:rsid w:val="00956F5F"/>
    <w:rsid w:val="009610DC"/>
    <w:rsid w:val="009625FD"/>
    <w:rsid w:val="00964A3B"/>
    <w:rsid w:val="0097154F"/>
    <w:rsid w:val="00972F8D"/>
    <w:rsid w:val="00974F1B"/>
    <w:rsid w:val="00975B91"/>
    <w:rsid w:val="009809DC"/>
    <w:rsid w:val="009814EF"/>
    <w:rsid w:val="00982189"/>
    <w:rsid w:val="00985996"/>
    <w:rsid w:val="00986978"/>
    <w:rsid w:val="00994F74"/>
    <w:rsid w:val="0099563A"/>
    <w:rsid w:val="009961D4"/>
    <w:rsid w:val="009A13F4"/>
    <w:rsid w:val="009A44BE"/>
    <w:rsid w:val="009B029F"/>
    <w:rsid w:val="009B27F8"/>
    <w:rsid w:val="009B4A8B"/>
    <w:rsid w:val="009B74FB"/>
    <w:rsid w:val="009C0660"/>
    <w:rsid w:val="009C07BA"/>
    <w:rsid w:val="009C31A4"/>
    <w:rsid w:val="009C4845"/>
    <w:rsid w:val="009C5892"/>
    <w:rsid w:val="009C7314"/>
    <w:rsid w:val="009C7DFA"/>
    <w:rsid w:val="009D2442"/>
    <w:rsid w:val="009D4E44"/>
    <w:rsid w:val="009D5D9F"/>
    <w:rsid w:val="009E02FA"/>
    <w:rsid w:val="009E0D97"/>
    <w:rsid w:val="009E0FA2"/>
    <w:rsid w:val="009E2244"/>
    <w:rsid w:val="009E34D8"/>
    <w:rsid w:val="009F2BAA"/>
    <w:rsid w:val="009F57FD"/>
    <w:rsid w:val="009F7F9F"/>
    <w:rsid w:val="00A00522"/>
    <w:rsid w:val="00A00EEB"/>
    <w:rsid w:val="00A01E02"/>
    <w:rsid w:val="00A0247E"/>
    <w:rsid w:val="00A02A3B"/>
    <w:rsid w:val="00A02E26"/>
    <w:rsid w:val="00A03EBC"/>
    <w:rsid w:val="00A05819"/>
    <w:rsid w:val="00A05BA0"/>
    <w:rsid w:val="00A0627D"/>
    <w:rsid w:val="00A06AF7"/>
    <w:rsid w:val="00A071D2"/>
    <w:rsid w:val="00A13D53"/>
    <w:rsid w:val="00A159C9"/>
    <w:rsid w:val="00A167FB"/>
    <w:rsid w:val="00A21B70"/>
    <w:rsid w:val="00A21D02"/>
    <w:rsid w:val="00A21D82"/>
    <w:rsid w:val="00A21DDB"/>
    <w:rsid w:val="00A22865"/>
    <w:rsid w:val="00A23CF6"/>
    <w:rsid w:val="00A24D3D"/>
    <w:rsid w:val="00A2690C"/>
    <w:rsid w:val="00A2792F"/>
    <w:rsid w:val="00A27C15"/>
    <w:rsid w:val="00A30970"/>
    <w:rsid w:val="00A314E8"/>
    <w:rsid w:val="00A315E4"/>
    <w:rsid w:val="00A31D96"/>
    <w:rsid w:val="00A31FEE"/>
    <w:rsid w:val="00A33C55"/>
    <w:rsid w:val="00A35266"/>
    <w:rsid w:val="00A35A08"/>
    <w:rsid w:val="00A406C3"/>
    <w:rsid w:val="00A41291"/>
    <w:rsid w:val="00A42875"/>
    <w:rsid w:val="00A44DC1"/>
    <w:rsid w:val="00A458D6"/>
    <w:rsid w:val="00A45AC7"/>
    <w:rsid w:val="00A478BF"/>
    <w:rsid w:val="00A47A98"/>
    <w:rsid w:val="00A47ADD"/>
    <w:rsid w:val="00A47EE7"/>
    <w:rsid w:val="00A500CB"/>
    <w:rsid w:val="00A50B43"/>
    <w:rsid w:val="00A51585"/>
    <w:rsid w:val="00A51C87"/>
    <w:rsid w:val="00A5363C"/>
    <w:rsid w:val="00A54197"/>
    <w:rsid w:val="00A5477B"/>
    <w:rsid w:val="00A57C46"/>
    <w:rsid w:val="00A601F5"/>
    <w:rsid w:val="00A602DB"/>
    <w:rsid w:val="00A61821"/>
    <w:rsid w:val="00A61E3A"/>
    <w:rsid w:val="00A631BA"/>
    <w:rsid w:val="00A63AA6"/>
    <w:rsid w:val="00A67CA5"/>
    <w:rsid w:val="00A72BE0"/>
    <w:rsid w:val="00A72DAA"/>
    <w:rsid w:val="00A73004"/>
    <w:rsid w:val="00A75CCD"/>
    <w:rsid w:val="00A7691F"/>
    <w:rsid w:val="00A773D6"/>
    <w:rsid w:val="00A80506"/>
    <w:rsid w:val="00A806AE"/>
    <w:rsid w:val="00A8118F"/>
    <w:rsid w:val="00A83458"/>
    <w:rsid w:val="00A84241"/>
    <w:rsid w:val="00A8679D"/>
    <w:rsid w:val="00A86C41"/>
    <w:rsid w:val="00A878DC"/>
    <w:rsid w:val="00A90148"/>
    <w:rsid w:val="00A9044F"/>
    <w:rsid w:val="00A917F8"/>
    <w:rsid w:val="00A922BF"/>
    <w:rsid w:val="00A96488"/>
    <w:rsid w:val="00AA0D8C"/>
    <w:rsid w:val="00AA25BC"/>
    <w:rsid w:val="00AA2D62"/>
    <w:rsid w:val="00AA3077"/>
    <w:rsid w:val="00AA46AF"/>
    <w:rsid w:val="00AA58CB"/>
    <w:rsid w:val="00AA5AE7"/>
    <w:rsid w:val="00AB0362"/>
    <w:rsid w:val="00AB0B95"/>
    <w:rsid w:val="00AB2BD9"/>
    <w:rsid w:val="00AB3EB0"/>
    <w:rsid w:val="00AB4E9E"/>
    <w:rsid w:val="00AB511A"/>
    <w:rsid w:val="00AB6C99"/>
    <w:rsid w:val="00AC0338"/>
    <w:rsid w:val="00AC0903"/>
    <w:rsid w:val="00AC11D5"/>
    <w:rsid w:val="00AC15E5"/>
    <w:rsid w:val="00AC177D"/>
    <w:rsid w:val="00AC22BB"/>
    <w:rsid w:val="00AC4080"/>
    <w:rsid w:val="00AC4F25"/>
    <w:rsid w:val="00AC5A6D"/>
    <w:rsid w:val="00AC5D73"/>
    <w:rsid w:val="00AC6CCE"/>
    <w:rsid w:val="00AC73AD"/>
    <w:rsid w:val="00AD056B"/>
    <w:rsid w:val="00AD4084"/>
    <w:rsid w:val="00AD5AD8"/>
    <w:rsid w:val="00AD5D26"/>
    <w:rsid w:val="00AD705A"/>
    <w:rsid w:val="00AD78F9"/>
    <w:rsid w:val="00AE008D"/>
    <w:rsid w:val="00AE30E0"/>
    <w:rsid w:val="00AE346F"/>
    <w:rsid w:val="00AE3AD5"/>
    <w:rsid w:val="00AF0A71"/>
    <w:rsid w:val="00AF2329"/>
    <w:rsid w:val="00AF251C"/>
    <w:rsid w:val="00AF3660"/>
    <w:rsid w:val="00AF5DED"/>
    <w:rsid w:val="00AF7A20"/>
    <w:rsid w:val="00B01312"/>
    <w:rsid w:val="00B0246C"/>
    <w:rsid w:val="00B0296E"/>
    <w:rsid w:val="00B02D98"/>
    <w:rsid w:val="00B02DFD"/>
    <w:rsid w:val="00B075B1"/>
    <w:rsid w:val="00B15D2F"/>
    <w:rsid w:val="00B16399"/>
    <w:rsid w:val="00B164ED"/>
    <w:rsid w:val="00B1760F"/>
    <w:rsid w:val="00B20DA3"/>
    <w:rsid w:val="00B242AF"/>
    <w:rsid w:val="00B2510B"/>
    <w:rsid w:val="00B2586D"/>
    <w:rsid w:val="00B25AE4"/>
    <w:rsid w:val="00B26909"/>
    <w:rsid w:val="00B275F9"/>
    <w:rsid w:val="00B27664"/>
    <w:rsid w:val="00B30EC6"/>
    <w:rsid w:val="00B31169"/>
    <w:rsid w:val="00B316F1"/>
    <w:rsid w:val="00B31828"/>
    <w:rsid w:val="00B34F71"/>
    <w:rsid w:val="00B35E81"/>
    <w:rsid w:val="00B363CD"/>
    <w:rsid w:val="00B37D1D"/>
    <w:rsid w:val="00B40C72"/>
    <w:rsid w:val="00B41E6B"/>
    <w:rsid w:val="00B42BEE"/>
    <w:rsid w:val="00B44D24"/>
    <w:rsid w:val="00B452B7"/>
    <w:rsid w:val="00B45709"/>
    <w:rsid w:val="00B458E3"/>
    <w:rsid w:val="00B4779C"/>
    <w:rsid w:val="00B50E0E"/>
    <w:rsid w:val="00B51052"/>
    <w:rsid w:val="00B518FF"/>
    <w:rsid w:val="00B51F5A"/>
    <w:rsid w:val="00B54F17"/>
    <w:rsid w:val="00B561EE"/>
    <w:rsid w:val="00B57D47"/>
    <w:rsid w:val="00B6210E"/>
    <w:rsid w:val="00B63097"/>
    <w:rsid w:val="00B632E3"/>
    <w:rsid w:val="00B64DC8"/>
    <w:rsid w:val="00B67D47"/>
    <w:rsid w:val="00B70688"/>
    <w:rsid w:val="00B70796"/>
    <w:rsid w:val="00B72ADC"/>
    <w:rsid w:val="00B73548"/>
    <w:rsid w:val="00B736F7"/>
    <w:rsid w:val="00B73741"/>
    <w:rsid w:val="00B77091"/>
    <w:rsid w:val="00B81908"/>
    <w:rsid w:val="00B8268A"/>
    <w:rsid w:val="00B837C1"/>
    <w:rsid w:val="00B841E0"/>
    <w:rsid w:val="00B84817"/>
    <w:rsid w:val="00B860BA"/>
    <w:rsid w:val="00B865F5"/>
    <w:rsid w:val="00B870A0"/>
    <w:rsid w:val="00B87870"/>
    <w:rsid w:val="00B91A84"/>
    <w:rsid w:val="00B91DFE"/>
    <w:rsid w:val="00B93610"/>
    <w:rsid w:val="00B966E9"/>
    <w:rsid w:val="00B96BC7"/>
    <w:rsid w:val="00B97229"/>
    <w:rsid w:val="00B97FC2"/>
    <w:rsid w:val="00BA08A3"/>
    <w:rsid w:val="00BA5AB3"/>
    <w:rsid w:val="00BB0D4E"/>
    <w:rsid w:val="00BB227E"/>
    <w:rsid w:val="00BB297A"/>
    <w:rsid w:val="00BB3058"/>
    <w:rsid w:val="00BB3A41"/>
    <w:rsid w:val="00BB3BF6"/>
    <w:rsid w:val="00BB3E60"/>
    <w:rsid w:val="00BB40B3"/>
    <w:rsid w:val="00BB4244"/>
    <w:rsid w:val="00BB5D48"/>
    <w:rsid w:val="00BB7E3D"/>
    <w:rsid w:val="00BC0B7E"/>
    <w:rsid w:val="00BC3CD1"/>
    <w:rsid w:val="00BC4961"/>
    <w:rsid w:val="00BC5EC6"/>
    <w:rsid w:val="00BC5F0E"/>
    <w:rsid w:val="00BD2211"/>
    <w:rsid w:val="00BD221D"/>
    <w:rsid w:val="00BD3E65"/>
    <w:rsid w:val="00BD5934"/>
    <w:rsid w:val="00BD5DA5"/>
    <w:rsid w:val="00BD7785"/>
    <w:rsid w:val="00BE0944"/>
    <w:rsid w:val="00BE0CA4"/>
    <w:rsid w:val="00BE1C88"/>
    <w:rsid w:val="00BE2983"/>
    <w:rsid w:val="00BE3B2E"/>
    <w:rsid w:val="00BE6EA6"/>
    <w:rsid w:val="00BE7D30"/>
    <w:rsid w:val="00BF11BF"/>
    <w:rsid w:val="00BF1C69"/>
    <w:rsid w:val="00BF1CBD"/>
    <w:rsid w:val="00BF52C4"/>
    <w:rsid w:val="00BF5CC8"/>
    <w:rsid w:val="00BF691F"/>
    <w:rsid w:val="00C006BE"/>
    <w:rsid w:val="00C037E8"/>
    <w:rsid w:val="00C03920"/>
    <w:rsid w:val="00C03981"/>
    <w:rsid w:val="00C05B8E"/>
    <w:rsid w:val="00C07B71"/>
    <w:rsid w:val="00C1063D"/>
    <w:rsid w:val="00C116FA"/>
    <w:rsid w:val="00C12F0B"/>
    <w:rsid w:val="00C12FD6"/>
    <w:rsid w:val="00C15D93"/>
    <w:rsid w:val="00C15E0E"/>
    <w:rsid w:val="00C22794"/>
    <w:rsid w:val="00C23FB5"/>
    <w:rsid w:val="00C24518"/>
    <w:rsid w:val="00C24A1A"/>
    <w:rsid w:val="00C3033C"/>
    <w:rsid w:val="00C328B6"/>
    <w:rsid w:val="00C331BB"/>
    <w:rsid w:val="00C41A08"/>
    <w:rsid w:val="00C41E92"/>
    <w:rsid w:val="00C420D5"/>
    <w:rsid w:val="00C422B9"/>
    <w:rsid w:val="00C4241E"/>
    <w:rsid w:val="00C50EFE"/>
    <w:rsid w:val="00C53287"/>
    <w:rsid w:val="00C574EF"/>
    <w:rsid w:val="00C57984"/>
    <w:rsid w:val="00C6105E"/>
    <w:rsid w:val="00C615A3"/>
    <w:rsid w:val="00C6198D"/>
    <w:rsid w:val="00C635DA"/>
    <w:rsid w:val="00C639E7"/>
    <w:rsid w:val="00C659BE"/>
    <w:rsid w:val="00C66B4B"/>
    <w:rsid w:val="00C670DB"/>
    <w:rsid w:val="00C72BE1"/>
    <w:rsid w:val="00C76F09"/>
    <w:rsid w:val="00C772CF"/>
    <w:rsid w:val="00C80300"/>
    <w:rsid w:val="00C80C62"/>
    <w:rsid w:val="00C81384"/>
    <w:rsid w:val="00C81AF8"/>
    <w:rsid w:val="00C82307"/>
    <w:rsid w:val="00C82C8D"/>
    <w:rsid w:val="00C84826"/>
    <w:rsid w:val="00C8613B"/>
    <w:rsid w:val="00C861DE"/>
    <w:rsid w:val="00C8759C"/>
    <w:rsid w:val="00C9126E"/>
    <w:rsid w:val="00C917BB"/>
    <w:rsid w:val="00C92622"/>
    <w:rsid w:val="00C93AD9"/>
    <w:rsid w:val="00C94AE8"/>
    <w:rsid w:val="00C960AA"/>
    <w:rsid w:val="00C96855"/>
    <w:rsid w:val="00C96EA6"/>
    <w:rsid w:val="00C97228"/>
    <w:rsid w:val="00C97320"/>
    <w:rsid w:val="00C9780D"/>
    <w:rsid w:val="00CA02DA"/>
    <w:rsid w:val="00CA0B61"/>
    <w:rsid w:val="00CA1A54"/>
    <w:rsid w:val="00CA1E41"/>
    <w:rsid w:val="00CA2A76"/>
    <w:rsid w:val="00CB2B98"/>
    <w:rsid w:val="00CC1D24"/>
    <w:rsid w:val="00CC39EE"/>
    <w:rsid w:val="00CC46B2"/>
    <w:rsid w:val="00CC50A5"/>
    <w:rsid w:val="00CC5718"/>
    <w:rsid w:val="00CC67A9"/>
    <w:rsid w:val="00CD0008"/>
    <w:rsid w:val="00CD0B65"/>
    <w:rsid w:val="00CD1352"/>
    <w:rsid w:val="00CD1CBE"/>
    <w:rsid w:val="00CD1E3E"/>
    <w:rsid w:val="00CD32E2"/>
    <w:rsid w:val="00CD40FD"/>
    <w:rsid w:val="00CD4B0B"/>
    <w:rsid w:val="00CD5252"/>
    <w:rsid w:val="00CD5D79"/>
    <w:rsid w:val="00CD653F"/>
    <w:rsid w:val="00CD6698"/>
    <w:rsid w:val="00CD673E"/>
    <w:rsid w:val="00CD7F29"/>
    <w:rsid w:val="00CE07DB"/>
    <w:rsid w:val="00CE1E5B"/>
    <w:rsid w:val="00CE3D24"/>
    <w:rsid w:val="00CE43D8"/>
    <w:rsid w:val="00CE5F3F"/>
    <w:rsid w:val="00CF0347"/>
    <w:rsid w:val="00CF1D92"/>
    <w:rsid w:val="00CF45C5"/>
    <w:rsid w:val="00CF5D91"/>
    <w:rsid w:val="00D0025C"/>
    <w:rsid w:val="00D004FB"/>
    <w:rsid w:val="00D02BBC"/>
    <w:rsid w:val="00D02C36"/>
    <w:rsid w:val="00D058FA"/>
    <w:rsid w:val="00D07117"/>
    <w:rsid w:val="00D07603"/>
    <w:rsid w:val="00D12172"/>
    <w:rsid w:val="00D12B8C"/>
    <w:rsid w:val="00D16C72"/>
    <w:rsid w:val="00D17F6F"/>
    <w:rsid w:val="00D200F6"/>
    <w:rsid w:val="00D21646"/>
    <w:rsid w:val="00D22B13"/>
    <w:rsid w:val="00D239A1"/>
    <w:rsid w:val="00D24AC8"/>
    <w:rsid w:val="00D36A3A"/>
    <w:rsid w:val="00D4131B"/>
    <w:rsid w:val="00D416E3"/>
    <w:rsid w:val="00D4241D"/>
    <w:rsid w:val="00D454F2"/>
    <w:rsid w:val="00D47A99"/>
    <w:rsid w:val="00D47CE9"/>
    <w:rsid w:val="00D5217C"/>
    <w:rsid w:val="00D52995"/>
    <w:rsid w:val="00D609C0"/>
    <w:rsid w:val="00D618DC"/>
    <w:rsid w:val="00D639F4"/>
    <w:rsid w:val="00D647ED"/>
    <w:rsid w:val="00D64B11"/>
    <w:rsid w:val="00D65202"/>
    <w:rsid w:val="00D72ADE"/>
    <w:rsid w:val="00D75233"/>
    <w:rsid w:val="00D7728F"/>
    <w:rsid w:val="00D77696"/>
    <w:rsid w:val="00D80ECD"/>
    <w:rsid w:val="00D81CC4"/>
    <w:rsid w:val="00D81E7D"/>
    <w:rsid w:val="00D832D8"/>
    <w:rsid w:val="00D85498"/>
    <w:rsid w:val="00D86D52"/>
    <w:rsid w:val="00D92DAB"/>
    <w:rsid w:val="00D94592"/>
    <w:rsid w:val="00D9581E"/>
    <w:rsid w:val="00D9765E"/>
    <w:rsid w:val="00D97E50"/>
    <w:rsid w:val="00DA247E"/>
    <w:rsid w:val="00DA3854"/>
    <w:rsid w:val="00DA3B26"/>
    <w:rsid w:val="00DA4591"/>
    <w:rsid w:val="00DA537D"/>
    <w:rsid w:val="00DA56FD"/>
    <w:rsid w:val="00DA5B1F"/>
    <w:rsid w:val="00DA6430"/>
    <w:rsid w:val="00DB0AA1"/>
    <w:rsid w:val="00DB4EED"/>
    <w:rsid w:val="00DB63DB"/>
    <w:rsid w:val="00DB7824"/>
    <w:rsid w:val="00DC16D9"/>
    <w:rsid w:val="00DC308E"/>
    <w:rsid w:val="00DC3F30"/>
    <w:rsid w:val="00DC4097"/>
    <w:rsid w:val="00DC5F50"/>
    <w:rsid w:val="00DC7F73"/>
    <w:rsid w:val="00DC7FF0"/>
    <w:rsid w:val="00DD7848"/>
    <w:rsid w:val="00DE0D15"/>
    <w:rsid w:val="00DE191A"/>
    <w:rsid w:val="00DE1A0F"/>
    <w:rsid w:val="00DE3123"/>
    <w:rsid w:val="00DE339F"/>
    <w:rsid w:val="00DE56F5"/>
    <w:rsid w:val="00DE7468"/>
    <w:rsid w:val="00DF0B52"/>
    <w:rsid w:val="00DF1535"/>
    <w:rsid w:val="00DF3A14"/>
    <w:rsid w:val="00DF47A9"/>
    <w:rsid w:val="00DF53F5"/>
    <w:rsid w:val="00DF61FD"/>
    <w:rsid w:val="00DF6D25"/>
    <w:rsid w:val="00E01E38"/>
    <w:rsid w:val="00E020D6"/>
    <w:rsid w:val="00E02C0E"/>
    <w:rsid w:val="00E02DCB"/>
    <w:rsid w:val="00E03C6D"/>
    <w:rsid w:val="00E053C3"/>
    <w:rsid w:val="00E1091B"/>
    <w:rsid w:val="00E11EE3"/>
    <w:rsid w:val="00E135F9"/>
    <w:rsid w:val="00E14349"/>
    <w:rsid w:val="00E15183"/>
    <w:rsid w:val="00E154AD"/>
    <w:rsid w:val="00E15A73"/>
    <w:rsid w:val="00E16889"/>
    <w:rsid w:val="00E16E6B"/>
    <w:rsid w:val="00E20C28"/>
    <w:rsid w:val="00E21D9C"/>
    <w:rsid w:val="00E21DF8"/>
    <w:rsid w:val="00E22A77"/>
    <w:rsid w:val="00E22E84"/>
    <w:rsid w:val="00E24603"/>
    <w:rsid w:val="00E2466A"/>
    <w:rsid w:val="00E24B18"/>
    <w:rsid w:val="00E27862"/>
    <w:rsid w:val="00E3016C"/>
    <w:rsid w:val="00E348BC"/>
    <w:rsid w:val="00E3649B"/>
    <w:rsid w:val="00E41B6C"/>
    <w:rsid w:val="00E4307D"/>
    <w:rsid w:val="00E4318F"/>
    <w:rsid w:val="00E4392E"/>
    <w:rsid w:val="00E444AA"/>
    <w:rsid w:val="00E51579"/>
    <w:rsid w:val="00E54395"/>
    <w:rsid w:val="00E54725"/>
    <w:rsid w:val="00E54741"/>
    <w:rsid w:val="00E55514"/>
    <w:rsid w:val="00E568E5"/>
    <w:rsid w:val="00E603BD"/>
    <w:rsid w:val="00E605D6"/>
    <w:rsid w:val="00E6365B"/>
    <w:rsid w:val="00E6453F"/>
    <w:rsid w:val="00E659EF"/>
    <w:rsid w:val="00E65A5D"/>
    <w:rsid w:val="00E666D0"/>
    <w:rsid w:val="00E66C40"/>
    <w:rsid w:val="00E70CBD"/>
    <w:rsid w:val="00E717E8"/>
    <w:rsid w:val="00E72BAF"/>
    <w:rsid w:val="00E736D3"/>
    <w:rsid w:val="00E7391D"/>
    <w:rsid w:val="00E73D81"/>
    <w:rsid w:val="00E74641"/>
    <w:rsid w:val="00E754F4"/>
    <w:rsid w:val="00E8129B"/>
    <w:rsid w:val="00E86DF6"/>
    <w:rsid w:val="00E92884"/>
    <w:rsid w:val="00EA057C"/>
    <w:rsid w:val="00EA2D3D"/>
    <w:rsid w:val="00EA5B84"/>
    <w:rsid w:val="00EB20F9"/>
    <w:rsid w:val="00EB24EB"/>
    <w:rsid w:val="00EB34AF"/>
    <w:rsid w:val="00EB5695"/>
    <w:rsid w:val="00EC2BDB"/>
    <w:rsid w:val="00EC3DCE"/>
    <w:rsid w:val="00EC6905"/>
    <w:rsid w:val="00ED06CC"/>
    <w:rsid w:val="00ED1856"/>
    <w:rsid w:val="00ED2C8E"/>
    <w:rsid w:val="00ED379E"/>
    <w:rsid w:val="00ED3AD1"/>
    <w:rsid w:val="00ED5818"/>
    <w:rsid w:val="00ED5D6A"/>
    <w:rsid w:val="00ED70EC"/>
    <w:rsid w:val="00ED7680"/>
    <w:rsid w:val="00EE0424"/>
    <w:rsid w:val="00EE0D47"/>
    <w:rsid w:val="00EE3802"/>
    <w:rsid w:val="00EE45C0"/>
    <w:rsid w:val="00EE4AFB"/>
    <w:rsid w:val="00EE5358"/>
    <w:rsid w:val="00EE564F"/>
    <w:rsid w:val="00EE5819"/>
    <w:rsid w:val="00EF10D7"/>
    <w:rsid w:val="00EF2CB5"/>
    <w:rsid w:val="00EF4240"/>
    <w:rsid w:val="00EF71E9"/>
    <w:rsid w:val="00F006D2"/>
    <w:rsid w:val="00F00BD1"/>
    <w:rsid w:val="00F00DB0"/>
    <w:rsid w:val="00F01FD9"/>
    <w:rsid w:val="00F022E2"/>
    <w:rsid w:val="00F04B07"/>
    <w:rsid w:val="00F058E8"/>
    <w:rsid w:val="00F05BA8"/>
    <w:rsid w:val="00F10491"/>
    <w:rsid w:val="00F13CDD"/>
    <w:rsid w:val="00F13D26"/>
    <w:rsid w:val="00F14AC0"/>
    <w:rsid w:val="00F1519F"/>
    <w:rsid w:val="00F15BB2"/>
    <w:rsid w:val="00F1625C"/>
    <w:rsid w:val="00F16F13"/>
    <w:rsid w:val="00F175F4"/>
    <w:rsid w:val="00F21326"/>
    <w:rsid w:val="00F23E9A"/>
    <w:rsid w:val="00F242D9"/>
    <w:rsid w:val="00F31BB9"/>
    <w:rsid w:val="00F32A6A"/>
    <w:rsid w:val="00F33C89"/>
    <w:rsid w:val="00F34837"/>
    <w:rsid w:val="00F34A6D"/>
    <w:rsid w:val="00F3715D"/>
    <w:rsid w:val="00F42E31"/>
    <w:rsid w:val="00F44B62"/>
    <w:rsid w:val="00F5072C"/>
    <w:rsid w:val="00F51CBF"/>
    <w:rsid w:val="00F52471"/>
    <w:rsid w:val="00F53CC8"/>
    <w:rsid w:val="00F5411D"/>
    <w:rsid w:val="00F55A5A"/>
    <w:rsid w:val="00F56D2B"/>
    <w:rsid w:val="00F57D2D"/>
    <w:rsid w:val="00F57F07"/>
    <w:rsid w:val="00F606D8"/>
    <w:rsid w:val="00F62A49"/>
    <w:rsid w:val="00F64F0D"/>
    <w:rsid w:val="00F7026A"/>
    <w:rsid w:val="00F71826"/>
    <w:rsid w:val="00F72B45"/>
    <w:rsid w:val="00F73B00"/>
    <w:rsid w:val="00F73D9A"/>
    <w:rsid w:val="00F73F2D"/>
    <w:rsid w:val="00F742D8"/>
    <w:rsid w:val="00F77258"/>
    <w:rsid w:val="00F77311"/>
    <w:rsid w:val="00F82EB8"/>
    <w:rsid w:val="00F84737"/>
    <w:rsid w:val="00F84C3E"/>
    <w:rsid w:val="00F87631"/>
    <w:rsid w:val="00F87958"/>
    <w:rsid w:val="00F87B69"/>
    <w:rsid w:val="00F9005C"/>
    <w:rsid w:val="00F90C95"/>
    <w:rsid w:val="00F9103E"/>
    <w:rsid w:val="00F9215A"/>
    <w:rsid w:val="00F95923"/>
    <w:rsid w:val="00F968A9"/>
    <w:rsid w:val="00F96A39"/>
    <w:rsid w:val="00F97463"/>
    <w:rsid w:val="00FA4263"/>
    <w:rsid w:val="00FA43F4"/>
    <w:rsid w:val="00FA4DC6"/>
    <w:rsid w:val="00FA5D99"/>
    <w:rsid w:val="00FB030E"/>
    <w:rsid w:val="00FB0638"/>
    <w:rsid w:val="00FB4123"/>
    <w:rsid w:val="00FB571F"/>
    <w:rsid w:val="00FB5A97"/>
    <w:rsid w:val="00FB7D57"/>
    <w:rsid w:val="00FC082D"/>
    <w:rsid w:val="00FC24BE"/>
    <w:rsid w:val="00FC42BA"/>
    <w:rsid w:val="00FC4C19"/>
    <w:rsid w:val="00FC4E8D"/>
    <w:rsid w:val="00FC6149"/>
    <w:rsid w:val="00FC6166"/>
    <w:rsid w:val="00FD045D"/>
    <w:rsid w:val="00FD08C1"/>
    <w:rsid w:val="00FD1019"/>
    <w:rsid w:val="00FD2375"/>
    <w:rsid w:val="00FD2C54"/>
    <w:rsid w:val="00FD2FF5"/>
    <w:rsid w:val="00FD4DC2"/>
    <w:rsid w:val="00FD7A7A"/>
    <w:rsid w:val="00FE10C1"/>
    <w:rsid w:val="00FE190E"/>
    <w:rsid w:val="00FE20A9"/>
    <w:rsid w:val="00FE48A9"/>
    <w:rsid w:val="00FE539D"/>
    <w:rsid w:val="00FE7A9B"/>
    <w:rsid w:val="00FF08B7"/>
    <w:rsid w:val="00FF12B8"/>
    <w:rsid w:val="00FF1BB9"/>
    <w:rsid w:val="00FF1FF7"/>
    <w:rsid w:val="00FF2BE0"/>
    <w:rsid w:val="00FF4D9E"/>
    <w:rsid w:val="00FF5180"/>
    <w:rsid w:val="00FF521D"/>
    <w:rsid w:val="00FF66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C547144"/>
  <w14:defaultImageDpi w14:val="300"/>
  <w15:docId w15:val="{E12854A4-4A31-4C31-82D8-6EDDAFED5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7B193E"/>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7B193E"/>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7B193E"/>
    <w:rPr>
      <w:rFonts w:ascii="Calibri Light" w:hAnsi="Calibri Light" w:cs="Arial"/>
      <w:b/>
      <w:color w:val="000000"/>
      <w:sz w:val="20"/>
      <w:szCs w:val="22"/>
      <w14:textFill>
        <w14:solidFill>
          <w14:srgbClr w14:val="000000">
            <w14:lumMod w14:val="50000"/>
          </w14:srgbClr>
        </w14:solidFill>
      </w14:textFill>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basedOn w:val="Normal"/>
    <w:link w:val="FootnoteTextChar"/>
    <w:unhideWhenUsed/>
    <w:qFormat/>
    <w:rsid w:val="005E25DC"/>
    <w:rPr>
      <w:sz w:val="18"/>
    </w:rPr>
  </w:style>
  <w:style w:type="character" w:customStyle="1" w:styleId="FootnoteTextChar">
    <w:name w:val="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FF6615"/>
    <w:pPr>
      <w:numPr>
        <w:numId w:val="7"/>
      </w:numPr>
      <w:spacing w:before="0" w:after="20"/>
    </w:pPr>
    <w:rPr>
      <w:szCs w:val="22"/>
    </w:r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1C78B3"/>
    <w:pPr>
      <w:keepNext/>
      <w:keepLines/>
      <w:spacing w:line="360" w:lineRule="exact"/>
      <w:jc w:val="center"/>
      <w:outlineLvl w:val="1"/>
    </w:pPr>
    <w:rPr>
      <w:rFonts w:eastAsiaTheme="majorEastAsia" w:cstheme="majorBidi"/>
      <w:caps/>
      <w:color w:val="FFFFFF" w:themeColor="background1"/>
      <w:spacing w:val="60"/>
      <w:sz w:val="32"/>
      <w:szCs w:val="26"/>
    </w:rPr>
  </w:style>
  <w:style w:type="character" w:customStyle="1" w:styleId="eTRMHeading2Char">
    <w:name w:val="eTRM Heading 2 Char"/>
    <w:basedOn w:val="DefaultParagraphFont"/>
    <w:link w:val="eTRMHeading2"/>
    <w:rsid w:val="001C78B3"/>
    <w:rPr>
      <w:rFonts w:ascii="Calibri Light" w:eastAsiaTheme="majorEastAsia" w:hAnsi="Calibri Light" w:cstheme="majorBidi"/>
      <w:caps/>
      <w:color w:val="FFFFFF" w:themeColor="background1"/>
      <w:spacing w:val="60"/>
      <w:sz w:val="32"/>
      <w:szCs w:val="26"/>
    </w:rPr>
  </w:style>
  <w:style w:type="paragraph" w:customStyle="1" w:styleId="eTRMHeading3">
    <w:name w:val="eTRM Heading 3"/>
    <w:basedOn w:val="Heading3"/>
    <w:link w:val="eTRMHeading3Char"/>
    <w:autoRedefine/>
    <w:qFormat/>
    <w:rsid w:val="000F1A47"/>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0F1A47"/>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ART">
    <w:name w:val="ART"/>
    <w:basedOn w:val="Normal"/>
    <w:next w:val="Normal"/>
    <w:rsid w:val="00B242AF"/>
    <w:pPr>
      <w:numPr>
        <w:ilvl w:val="1"/>
        <w:numId w:val="6"/>
      </w:numPr>
      <w:suppressAutoHyphens/>
      <w:spacing w:before="240" w:after="0" w:line="240" w:lineRule="auto"/>
      <w:outlineLvl w:val="1"/>
    </w:pPr>
    <w:rPr>
      <w:rFonts w:ascii="Arial" w:eastAsia="Batang" w:hAnsi="Arial" w:cs="Times New Roman"/>
      <w:b/>
      <w:caps/>
      <w:sz w:val="20"/>
      <w:szCs w:val="20"/>
    </w:rPr>
  </w:style>
  <w:style w:type="paragraph" w:customStyle="1" w:styleId="Normal1">
    <w:name w:val="Normal1"/>
    <w:basedOn w:val="Normal"/>
    <w:rsid w:val="00FB4123"/>
    <w:pPr>
      <w:overflowPunct w:val="0"/>
      <w:autoSpaceDE w:val="0"/>
      <w:autoSpaceDN w:val="0"/>
      <w:adjustRightInd w:val="0"/>
      <w:spacing w:before="0" w:line="360" w:lineRule="atLeast"/>
      <w:textAlignment w:val="baseline"/>
    </w:pPr>
    <w:rPr>
      <w:rFonts w:ascii="Times New Roman" w:eastAsia="Batang" w:hAnsi="Times New Roman" w:cs="Times New Roman"/>
      <w:szCs w:val="20"/>
    </w:rPr>
  </w:style>
  <w:style w:type="paragraph" w:customStyle="1" w:styleId="Reminder">
    <w:name w:val="Reminder"/>
    <w:basedOn w:val="Normal"/>
    <w:link w:val="ReminderChar"/>
    <w:rsid w:val="003225AD"/>
    <w:pPr>
      <w:spacing w:before="40" w:after="40" w:line="240" w:lineRule="auto"/>
    </w:pPr>
    <w:rPr>
      <w:rFonts w:ascii="Trebuchet MS" w:eastAsia="Times New Roman" w:hAnsi="Trebuchet MS" w:cs="Times New Roman"/>
      <w:i/>
      <w:color w:val="FF0000"/>
      <w:sz w:val="24"/>
    </w:rPr>
  </w:style>
  <w:style w:type="character" w:customStyle="1" w:styleId="ReminderChar">
    <w:name w:val="Reminder Char"/>
    <w:basedOn w:val="DefaultParagraphFont"/>
    <w:link w:val="Reminder"/>
    <w:rsid w:val="003225AD"/>
    <w:rPr>
      <w:rFonts w:ascii="Trebuchet MS" w:eastAsia="Times New Roman" w:hAnsi="Trebuchet MS" w:cs="Times New Roman"/>
      <w:i/>
      <w:color w:val="FF0000"/>
    </w:rPr>
  </w:style>
  <w:style w:type="paragraph" w:customStyle="1" w:styleId="Default">
    <w:name w:val="Default"/>
    <w:rsid w:val="00C772CF"/>
    <w:pPr>
      <w:autoSpaceDE w:val="0"/>
      <w:autoSpaceDN w:val="0"/>
      <w:adjustRightInd w:val="0"/>
    </w:pPr>
    <w:rPr>
      <w:rFonts w:ascii="Arial" w:eastAsia="Times New Roman" w:hAnsi="Arial" w:cs="Arial"/>
      <w:color w:val="000000"/>
    </w:rPr>
  </w:style>
  <w:style w:type="paragraph" w:styleId="NormalWeb">
    <w:name w:val="Normal (Web)"/>
    <w:basedOn w:val="Normal"/>
    <w:uiPriority w:val="99"/>
    <w:semiHidden/>
    <w:unhideWhenUsed/>
    <w:rsid w:val="00112C97"/>
    <w:pPr>
      <w:spacing w:before="100" w:beforeAutospacing="1" w:after="100" w:afterAutospacing="1" w:line="240" w:lineRule="auto"/>
    </w:pPr>
    <w:rPr>
      <w:rFonts w:ascii="Times New Roman" w:hAnsi="Times New Roman" w:cs="Times New Roman"/>
      <w:sz w:val="24"/>
    </w:rPr>
  </w:style>
  <w:style w:type="character" w:styleId="PlaceholderText">
    <w:name w:val="Placeholder Text"/>
    <w:basedOn w:val="DefaultParagraphFont"/>
    <w:uiPriority w:val="99"/>
    <w:semiHidden/>
    <w:rsid w:val="00760E9C"/>
    <w:rPr>
      <w:color w:val="808080"/>
    </w:rPr>
  </w:style>
  <w:style w:type="paragraph" w:customStyle="1" w:styleId="PR1">
    <w:name w:val="PR1"/>
    <w:basedOn w:val="ART"/>
    <w:rsid w:val="00134EC3"/>
    <w:pPr>
      <w:numPr>
        <w:ilvl w:val="0"/>
        <w:numId w:val="0"/>
      </w:numPr>
      <w:tabs>
        <w:tab w:val="num" w:pos="1152"/>
      </w:tabs>
      <w:ind w:left="1152" w:hanging="432"/>
      <w:outlineLvl w:val="2"/>
    </w:pPr>
    <w:rPr>
      <w:b w:val="0"/>
      <w:caps w:val="0"/>
    </w:rPr>
  </w:style>
  <w:style w:type="paragraph" w:customStyle="1" w:styleId="PR2">
    <w:name w:val="PR2"/>
    <w:basedOn w:val="PR1"/>
    <w:rsid w:val="00134EC3"/>
    <w:pPr>
      <w:tabs>
        <w:tab w:val="clear" w:pos="1152"/>
        <w:tab w:val="num" w:pos="1584"/>
      </w:tabs>
      <w:spacing w:before="0"/>
      <w:ind w:left="1584"/>
      <w:outlineLvl w:val="3"/>
    </w:pPr>
  </w:style>
  <w:style w:type="paragraph" w:customStyle="1" w:styleId="PR3">
    <w:name w:val="PR3"/>
    <w:basedOn w:val="PR1"/>
    <w:rsid w:val="00134EC3"/>
    <w:pPr>
      <w:tabs>
        <w:tab w:val="clear" w:pos="1152"/>
        <w:tab w:val="num" w:pos="2016"/>
      </w:tabs>
      <w:spacing w:before="0"/>
      <w:ind w:left="2016"/>
      <w:outlineLvl w:val="4"/>
    </w:pPr>
  </w:style>
  <w:style w:type="paragraph" w:customStyle="1" w:styleId="PR4">
    <w:name w:val="PR4"/>
    <w:basedOn w:val="PR1"/>
    <w:rsid w:val="00134EC3"/>
    <w:pPr>
      <w:tabs>
        <w:tab w:val="clear" w:pos="1152"/>
        <w:tab w:val="left" w:pos="2448"/>
        <w:tab w:val="num" w:pos="2736"/>
      </w:tabs>
      <w:spacing w:before="0"/>
      <w:ind w:left="2448"/>
      <w:outlineLvl w:val="5"/>
    </w:pPr>
  </w:style>
  <w:style w:type="paragraph" w:customStyle="1" w:styleId="PR5">
    <w:name w:val="PR5"/>
    <w:basedOn w:val="PR1"/>
    <w:rsid w:val="00134EC3"/>
    <w:pPr>
      <w:tabs>
        <w:tab w:val="clear" w:pos="1152"/>
        <w:tab w:val="num" w:pos="2880"/>
      </w:tabs>
      <w:spacing w:before="0"/>
      <w:ind w:left="2880"/>
      <w:outlineLvl w:val="6"/>
    </w:pPr>
  </w:style>
  <w:style w:type="paragraph" w:customStyle="1" w:styleId="PR6">
    <w:name w:val="PR6"/>
    <w:basedOn w:val="PR1"/>
    <w:rsid w:val="00134EC3"/>
    <w:pPr>
      <w:tabs>
        <w:tab w:val="clear" w:pos="1152"/>
        <w:tab w:val="num" w:pos="3600"/>
        <w:tab w:val="left" w:pos="3744"/>
      </w:tabs>
      <w:spacing w:before="0"/>
      <w:ind w:left="3312"/>
      <w:outlineLvl w:val="7"/>
    </w:pPr>
  </w:style>
  <w:style w:type="paragraph" w:customStyle="1" w:styleId="PR7">
    <w:name w:val="PR7"/>
    <w:basedOn w:val="PR6"/>
    <w:rsid w:val="00134EC3"/>
    <w:pPr>
      <w:tabs>
        <w:tab w:val="clear" w:pos="3600"/>
        <w:tab w:val="num" w:pos="3744"/>
        <w:tab w:val="left" w:pos="4464"/>
      </w:tabs>
      <w:ind w:left="3744"/>
    </w:pPr>
  </w:style>
  <w:style w:type="paragraph" w:customStyle="1" w:styleId="WPSCT">
    <w:name w:val="WPSCT"/>
    <w:basedOn w:val="Normal"/>
    <w:next w:val="ART"/>
    <w:qFormat/>
    <w:rsid w:val="00134EC3"/>
    <w:pPr>
      <w:suppressAutoHyphens/>
      <w:spacing w:before="240" w:after="0" w:line="240" w:lineRule="auto"/>
      <w:ind w:left="576" w:hanging="576"/>
      <w:outlineLvl w:val="0"/>
    </w:pPr>
    <w:rPr>
      <w:rFonts w:ascii="Arial" w:eastAsia="Batang" w:hAnsi="Arial" w:cs="Times New Roman"/>
      <w:b/>
      <w:caps/>
      <w:sz w:val="20"/>
      <w:szCs w:val="20"/>
    </w:rPr>
  </w:style>
  <w:style w:type="paragraph" w:customStyle="1" w:styleId="WPPR1">
    <w:name w:val="WPPR1"/>
    <w:basedOn w:val="PR1"/>
    <w:qFormat/>
    <w:rsid w:val="00134EC3"/>
  </w:style>
  <w:style w:type="paragraph" w:customStyle="1" w:styleId="TBL">
    <w:name w:val="TBL"/>
    <w:rsid w:val="00D609C0"/>
    <w:pPr>
      <w:numPr>
        <w:numId w:val="13"/>
      </w:numPr>
      <w:spacing w:before="120" w:after="120"/>
      <w:jc w:val="center"/>
    </w:pPr>
    <w:rPr>
      <w:rFonts w:ascii="Arial" w:eastAsia="Batang" w:hAnsi="Arial" w:cs="Times New Roman"/>
      <w:b/>
      <w:sz w:val="20"/>
      <w:szCs w:val="20"/>
    </w:rPr>
  </w:style>
  <w:style w:type="paragraph" w:customStyle="1" w:styleId="WPPR2">
    <w:name w:val="WPPR2"/>
    <w:basedOn w:val="PR2"/>
    <w:qFormat/>
    <w:rsid w:val="00D609C0"/>
    <w:pPr>
      <w:numPr>
        <w:ilvl w:val="3"/>
        <w:numId w:val="1"/>
      </w:numPr>
    </w:pPr>
  </w:style>
  <w:style w:type="paragraph" w:customStyle="1" w:styleId="Vertical">
    <w:name w:val="Vertical"/>
    <w:basedOn w:val="Normal1"/>
    <w:qFormat/>
    <w:rsid w:val="00D609C0"/>
    <w:pPr>
      <w:spacing w:line="240" w:lineRule="auto"/>
      <w:jc w:val="center"/>
    </w:pPr>
    <w:rPr>
      <w:rFonts w:ascii="Arial" w:eastAsia="Times New Roman" w:hAnsi="Arial"/>
      <w:sz w:val="20"/>
    </w:rPr>
  </w:style>
  <w:style w:type="paragraph" w:customStyle="1" w:styleId="FIG">
    <w:name w:val="FIG"/>
    <w:qFormat/>
    <w:rsid w:val="00F32A6A"/>
    <w:pPr>
      <w:numPr>
        <w:numId w:val="14"/>
      </w:numPr>
    </w:pPr>
    <w:rPr>
      <w:rFonts w:ascii="Arial" w:eastAsia="Batang" w:hAnsi="Arial" w:cs="Times New Roman"/>
      <w:b/>
      <w:sz w:val="20"/>
      <w:szCs w:val="20"/>
    </w:rPr>
  </w:style>
  <w:style w:type="paragraph" w:customStyle="1" w:styleId="WPPR3">
    <w:name w:val="WPPR3"/>
    <w:basedOn w:val="PR3"/>
    <w:qFormat/>
    <w:rsid w:val="00F32A6A"/>
    <w:pPr>
      <w:numPr>
        <w:ilvl w:val="4"/>
        <w:numId w:val="1"/>
      </w:numPr>
    </w:pPr>
  </w:style>
  <w:style w:type="paragraph" w:customStyle="1" w:styleId="WPPR4">
    <w:name w:val="WPPR4"/>
    <w:basedOn w:val="PR4"/>
    <w:qFormat/>
    <w:rsid w:val="00F32A6A"/>
    <w:pPr>
      <w:numPr>
        <w:ilvl w:val="5"/>
        <w:numId w:val="1"/>
      </w:numPr>
    </w:pPr>
  </w:style>
  <w:style w:type="table" w:customStyle="1" w:styleId="TableGrid13">
    <w:name w:val="Table Grid13"/>
    <w:basedOn w:val="TableNormal"/>
    <w:next w:val="TableGrid"/>
    <w:rsid w:val="007743C7"/>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minders">
    <w:name w:val="Reminders"/>
    <w:basedOn w:val="Normal"/>
    <w:link w:val="RemindersChar"/>
    <w:rsid w:val="005E0411"/>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5E0411"/>
    <w:rPr>
      <w:rFonts w:ascii="Trebuchet MS" w:eastAsia="Times New Roman" w:hAnsi="Trebuchet MS" w:cs="Times New Roman"/>
      <w:i/>
      <w:color w:val="FF0000"/>
      <w:sz w:val="22"/>
    </w:rPr>
  </w:style>
  <w:style w:type="table" w:customStyle="1" w:styleId="TableGrid1">
    <w:name w:val="Table Grid1"/>
    <w:basedOn w:val="TableNormal"/>
    <w:next w:val="TableGrid"/>
    <w:uiPriority w:val="59"/>
    <w:rsid w:val="005E0411"/>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5E0411"/>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rsid w:val="00266F0F"/>
    <w:rPr>
      <w:color w:val="808080"/>
      <w:shd w:val="clear" w:color="auto" w:fill="E6E6E6"/>
    </w:rPr>
  </w:style>
  <w:style w:type="character" w:styleId="Emphasis">
    <w:name w:val="Emphasis"/>
    <w:basedOn w:val="DefaultParagraphFont"/>
    <w:uiPriority w:val="20"/>
    <w:qFormat/>
    <w:rsid w:val="004917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181270">
      <w:bodyDiv w:val="1"/>
      <w:marLeft w:val="0"/>
      <w:marRight w:val="0"/>
      <w:marTop w:val="0"/>
      <w:marBottom w:val="0"/>
      <w:divBdr>
        <w:top w:val="none" w:sz="0" w:space="0" w:color="auto"/>
        <w:left w:val="none" w:sz="0" w:space="0" w:color="auto"/>
        <w:bottom w:val="none" w:sz="0" w:space="0" w:color="auto"/>
        <w:right w:val="none" w:sz="0" w:space="0" w:color="auto"/>
      </w:divBdr>
    </w:div>
    <w:div w:id="647250060">
      <w:bodyDiv w:val="1"/>
      <w:marLeft w:val="0"/>
      <w:marRight w:val="0"/>
      <w:marTop w:val="0"/>
      <w:marBottom w:val="0"/>
      <w:divBdr>
        <w:top w:val="none" w:sz="0" w:space="0" w:color="auto"/>
        <w:left w:val="none" w:sz="0" w:space="0" w:color="auto"/>
        <w:bottom w:val="none" w:sz="0" w:space="0" w:color="auto"/>
        <w:right w:val="none" w:sz="0" w:space="0" w:color="auto"/>
      </w:divBdr>
    </w:div>
    <w:div w:id="834346276">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38201663">
      <w:bodyDiv w:val="1"/>
      <w:marLeft w:val="0"/>
      <w:marRight w:val="0"/>
      <w:marTop w:val="0"/>
      <w:marBottom w:val="0"/>
      <w:divBdr>
        <w:top w:val="none" w:sz="0" w:space="0" w:color="auto"/>
        <w:left w:val="none" w:sz="0" w:space="0" w:color="auto"/>
        <w:bottom w:val="none" w:sz="0" w:space="0" w:color="auto"/>
        <w:right w:val="none" w:sz="0" w:space="0" w:color="auto"/>
      </w:divBdr>
    </w:div>
    <w:div w:id="1341544729">
      <w:bodyDiv w:val="1"/>
      <w:marLeft w:val="0"/>
      <w:marRight w:val="0"/>
      <w:marTop w:val="0"/>
      <w:marBottom w:val="0"/>
      <w:divBdr>
        <w:top w:val="none" w:sz="0" w:space="0" w:color="auto"/>
        <w:left w:val="none" w:sz="0" w:space="0" w:color="auto"/>
        <w:bottom w:val="none" w:sz="0" w:space="0" w:color="auto"/>
        <w:right w:val="none" w:sz="0" w:space="0" w:color="auto"/>
      </w:divBdr>
      <w:divsChild>
        <w:div w:id="1614676567">
          <w:marLeft w:val="0"/>
          <w:marRight w:val="0"/>
          <w:marTop w:val="0"/>
          <w:marBottom w:val="0"/>
          <w:divBdr>
            <w:top w:val="none" w:sz="0" w:space="0" w:color="auto"/>
            <w:left w:val="none" w:sz="0" w:space="0" w:color="auto"/>
            <w:bottom w:val="none" w:sz="0" w:space="0" w:color="auto"/>
            <w:right w:val="none" w:sz="0" w:space="0" w:color="auto"/>
          </w:divBdr>
          <w:divsChild>
            <w:div w:id="955872740">
              <w:marLeft w:val="0"/>
              <w:marRight w:val="0"/>
              <w:marTop w:val="0"/>
              <w:marBottom w:val="0"/>
              <w:divBdr>
                <w:top w:val="none" w:sz="0" w:space="0" w:color="auto"/>
                <w:left w:val="none" w:sz="0" w:space="0" w:color="auto"/>
                <w:bottom w:val="none" w:sz="0" w:space="0" w:color="auto"/>
                <w:right w:val="none" w:sz="0" w:space="0" w:color="auto"/>
              </w:divBdr>
              <w:divsChild>
                <w:div w:id="15126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7649171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924ED88772144594244579EB5BE2C3" ma:contentTypeVersion="7" ma:contentTypeDescription="Create a new document." ma:contentTypeScope="" ma:versionID="e51f6a280eead74bb9160161b6e106f0">
  <xsd:schema xmlns:xsd="http://www.w3.org/2001/XMLSchema" xmlns:xs="http://www.w3.org/2001/XMLSchema" xmlns:p="http://schemas.microsoft.com/office/2006/metadata/properties" xmlns:ns2="3f48e474-195a-42ce-9cf3-5cd6e54a0fcb" xmlns:ns3="5d41e947-7978-4db3-afde-6624fea38b4b" targetNamespace="http://schemas.microsoft.com/office/2006/metadata/properties" ma:root="true" ma:fieldsID="01534af1532ac8c607f6e88b5c990924" ns2:_="" ns3:_="">
    <xsd:import namespace="3f48e474-195a-42ce-9cf3-5cd6e54a0fcb"/>
    <xsd:import namespace="5d41e947-7978-4db3-afde-6624fea38b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e474-195a-42ce-9cf3-5cd6e54a0fc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41e947-7978-4db3-afde-6624fea38b4b"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Location" ma:index="14"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Title20</b:Tag>
    <b:SourceType>DocumentFromInternetSite</b:SourceType>
    <b:Guid>{B286681F-E789-44B5-8D9E-CF1F84D55DF1}</b:Guid>
    <b:Title>California Energy Commision</b:Title>
    <b:InternetSiteTitle>Appliance Efficiency Program</b:InternetSiteTitle>
    <b:Year>2014</b:Year>
    <b:Month>02</b:Month>
    <b:Day>14</b:Day>
    <b:URL>http://www.energy.ca.gov/2014publications/CEC-400-2014-009/CEC-400-2014-009-CMF.pdf</b:URL>
    <b:YearAccessed>2014</b:YearAccessed>
    <b:MonthAccessed>05</b:MonthAccessed>
    <b:DayAccessed>23</b:DayAccessed>
    <b:ShortTitle>2014 Appliance Efficiency Regulations</b:ShortTitle>
    <b:RefOrder>1</b:RefOrder>
  </b:Source>
  <b:Source>
    <b:Tag>Title24</b:Tag>
    <b:SourceType>DocumentFromInternetSite</b:SourceType>
    <b:Guid>{38ABC1BB-18E8-4F8F-B028-EC59EC86C1DB}</b:Guid>
    <b:Title>2013 Building Energy Efficiency Standards</b:Title>
    <b:InternetSiteTitle>California Energy Commission</b:InternetSiteTitle>
    <b:Year>2013</b:Year>
    <b:Month>11</b:Month>
    <b:Day>25</b:Day>
    <b:URL>http://www.energy.ca.gov/title24/2013standards/index.html</b:URL>
    <b:YearAccessed>2014</b:YearAccessed>
    <b:MonthAccessed>05</b:MonthAccessed>
    <b:DayAccessed>23</b:DayAccessed>
    <b:ShortTitle>2013 Building Energy Efficiency Standards for Residential and Nonresidential Buildings - Revised</b:ShortTitle>
    <b:RefOrder>2</b:RefOrder>
  </b:Source>
</b:Sources>
</file>

<file path=customXml/itemProps1.xml><?xml version="1.0" encoding="utf-8"?>
<ds:datastoreItem xmlns:ds="http://schemas.openxmlformats.org/officeDocument/2006/customXml" ds:itemID="{E524512F-375A-4F70-82F3-FFA4D513B0E2}">
  <ds:schemaRefs>
    <ds:schemaRef ds:uri="http://schemas.microsoft.com/sharepoint/v3/contenttype/forms"/>
  </ds:schemaRefs>
</ds:datastoreItem>
</file>

<file path=customXml/itemProps2.xml><?xml version="1.0" encoding="utf-8"?>
<ds:datastoreItem xmlns:ds="http://schemas.openxmlformats.org/officeDocument/2006/customXml" ds:itemID="{C321450F-3ADA-458C-86DA-DE085DFC9B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e474-195a-42ce-9cf3-5cd6e54a0fcb"/>
    <ds:schemaRef ds:uri="5d41e947-7978-4db3-afde-6624fea38b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DA921D-98B8-41F2-A89C-F057356DFB2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7230AB-CFAF-4FA3-BC65-13D8B7474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1</TotalTime>
  <Pages>13</Pages>
  <Words>2994</Words>
  <Characters>17066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
  <LinksUpToDate>false</LinksUpToDate>
  <CharactersWithSpaces>20020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Jay Madden</cp:lastModifiedBy>
  <cp:revision>2</cp:revision>
  <cp:lastPrinted>2019-02-27T03:36:00Z</cp:lastPrinted>
  <dcterms:created xsi:type="dcterms:W3CDTF">2020-04-07T20:17:00Z</dcterms:created>
  <dcterms:modified xsi:type="dcterms:W3CDTF">2020-04-07T20:17:00Z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0x0101003A924ED88772144594244579EB5BE2C3</vt:lpwstr>
  </property>
</Properties>
</file>